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Playbooks</w:t>
      </w:r>
    </w:p>
    <w:p>
      <w:r>
        <w:t>Document ID: REL-SP-001</w:t>
        <w:br/>
        <w:t>Version: 1.0</w:t>
        <w:br/>
        <w:t>Department: Sales Excellence</w:t>
      </w:r>
    </w:p>
    <w:p>
      <w:pPr>
        <w:pStyle w:val="Heading2"/>
      </w:pPr>
      <w:r>
        <w:t>Purpose</w:t>
      </w:r>
    </w:p>
    <w:p>
      <w:r>
        <w:t>This playbook standardizes enterprise sales engagements for automotive OEMs and Tier-1 suppliers, ensuring consistent discovery, qualification, demonstrations and proposal delivery.</w:t>
      </w:r>
    </w:p>
    <w:p>
      <w:pPr>
        <w:pStyle w:val="Heading2"/>
      </w:pPr>
      <w:r>
        <w:t>Target Customers</w:t>
      </w:r>
    </w:p>
    <w:p>
      <w:r>
        <w:t>Passenger vehicle OEMs, commercial vehicle manufacturers, EV startups, Tier-1 suppliers, aftermarket distributors and fleet operators.</w:t>
      </w:r>
    </w:p>
    <w:p>
      <w:pPr>
        <w:pStyle w:val="Heading2"/>
      </w:pPr>
      <w:r>
        <w:t>Discovery Framework</w:t>
      </w:r>
    </w:p>
    <w:p>
      <w:r>
        <w:t>Understand current manufacturing challenges, warranty costs, quality metrics, digital maturity, ERP/CRM landscape, compliance obligations and executive priorities.</w:t>
      </w:r>
    </w:p>
    <w:p>
      <w:pPr>
        <w:pStyle w:val="Heading2"/>
      </w:pPr>
      <w:r>
        <w:t>Qualification Checklist</w:t>
      </w:r>
    </w:p>
    <w:p>
      <w:r>
        <w:t>Budget identified, executive sponsor available, implementation timeline defined, technical fit validated, security review planned, procurement process understood.</w:t>
      </w:r>
    </w:p>
    <w:p>
      <w:pPr>
        <w:pStyle w:val="Heading2"/>
      </w:pPr>
      <w:r>
        <w:t>Sales Methodology</w:t>
      </w:r>
    </w:p>
    <w:p>
      <w:r>
        <w:t>Use MEDDICC: Metrics, Economic Buyer, Decision Criteria, Decision Process, Identify Pain, Champion, Competition.</w:t>
      </w:r>
    </w:p>
    <w:p>
      <w:pPr>
        <w:pStyle w:val="Heading2"/>
      </w:pPr>
      <w:r>
        <w:t>Common Pain Points</w:t>
      </w:r>
    </w:p>
    <w:p>
      <w:r>
        <w:t>High warranty claims, manual quality inspections, disconnected CRM data, slow sales cycles, limited account visibility, inconsistent forecasting.</w:t>
      </w:r>
    </w:p>
    <w:p>
      <w:pPr>
        <w:pStyle w:val="Heading2"/>
      </w:pPr>
      <w:r>
        <w:t>Objection Handling</w:t>
      </w:r>
    </w:p>
    <w:p>
      <w:r>
        <w:t>Address concerns on pricing, implementation effort, integration, data security, ROI and change management using case studies and quantified outcomes.</w:t>
      </w:r>
    </w:p>
    <w:p>
      <w:pPr>
        <w:pStyle w:val="Heading2"/>
      </w:pPr>
      <w:r>
        <w:t>Competitive Positioning</w:t>
      </w:r>
    </w:p>
    <w:p>
      <w:r>
        <w:t>Highlight unified revenue intelligence, CRM integration, AI coaching, compliance support, faster implementation and lower total cost of ownership.</w:t>
      </w:r>
    </w:p>
    <w:p>
      <w:pPr>
        <w:pStyle w:val="Heading2"/>
      </w:pPr>
      <w:r>
        <w:t>ROI Messaging</w:t>
      </w:r>
    </w:p>
    <w:p>
      <w:r>
        <w:t>Estimate reduced sales cycle, improved win rate, fewer warranty issues and increased seller productivity using customer-specific assumptions.</w:t>
      </w:r>
    </w:p>
    <w:p>
      <w:pPr>
        <w:pStyle w:val="Heading2"/>
      </w:pPr>
      <w:r>
        <w:t>Meeting Checklist</w:t>
      </w:r>
    </w:p>
    <w:p>
      <w:r>
        <w:t>Review CRM, emails, account history, market research, stakeholders, previous deals, competitor presence and prepare personalized questions.</w:t>
      </w:r>
    </w:p>
    <w:p>
      <w:pPr>
        <w:pStyle w:val="Heading2"/>
      </w:pPr>
      <w:r>
        <w:t>Post-Meeting Actions</w:t>
      </w:r>
    </w:p>
    <w:p>
      <w:r>
        <w:t>Send summary within 24 hours, capture action items in CRM, schedule follow-up, update opportunity stage and share relevant documentation.</w:t>
      </w:r>
    </w:p>
    <w:p>
      <w:pPr>
        <w:pStyle w:val="Heading2"/>
      </w:pPr>
      <w:r>
        <w:t>Sample Discovery Questions</w:t>
      </w:r>
    </w:p>
    <w:p>
      <w:pPr>
        <w:pStyle w:val="ListBullet"/>
      </w:pPr>
      <w:r>
        <w:t>What business objectives are driving this initiative?</w:t>
      </w:r>
    </w:p>
    <w:p>
      <w:pPr>
        <w:pStyle w:val="ListBullet"/>
      </w:pPr>
      <w:r>
        <w:t>How do you currently manage quality and warranty data?</w:t>
      </w:r>
    </w:p>
    <w:p>
      <w:pPr>
        <w:pStyle w:val="ListBullet"/>
      </w:pPr>
      <w:r>
        <w:t>What CRM systems are in use today?</w:t>
      </w:r>
    </w:p>
    <w:p>
      <w:pPr>
        <w:pStyle w:val="ListBullet"/>
      </w:pPr>
      <w:r>
        <w:t>What KPIs define success for this project?</w:t>
      </w:r>
    </w:p>
    <w:p>
      <w:pPr>
        <w:pStyle w:val="ListBullet"/>
      </w:pPr>
      <w:r>
        <w:t>Who are the executive decision makers?</w:t>
      </w:r>
    </w:p>
    <w:p>
      <w:pPr>
        <w:pStyle w:val="ListBullet"/>
      </w:pPr>
      <w:r>
        <w:t>What timeline are you targeting for deployment?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Deliverable</w:t>
            </w:r>
          </w:p>
        </w:tc>
        <w:tc>
          <w:tcPr>
            <w:tcW w:type="dxa" w:w="2880"/>
          </w:tcPr>
          <w:p>
            <w:r>
              <w:t>Exit Criteria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Needs Analysis</w:t>
            </w:r>
          </w:p>
        </w:tc>
        <w:tc>
          <w:tcPr>
            <w:tcW w:type="dxa" w:w="2880"/>
          </w:tcPr>
          <w:p>
            <w:r>
              <w:t>Pain validated</w:t>
            </w:r>
          </w:p>
        </w:tc>
      </w:tr>
      <w:tr>
        <w:tc>
          <w:tcPr>
            <w:tcW w:type="dxa" w:w="2880"/>
          </w:tcPr>
          <w:p>
            <w:r>
              <w:t>Qualification</w:t>
            </w:r>
          </w:p>
        </w:tc>
        <w:tc>
          <w:tcPr>
            <w:tcW w:type="dxa" w:w="2880"/>
          </w:tcPr>
          <w:p>
            <w:r>
              <w:t>Business Case</w:t>
            </w:r>
          </w:p>
        </w:tc>
        <w:tc>
          <w:tcPr>
            <w:tcW w:type="dxa" w:w="2880"/>
          </w:tcPr>
          <w:p>
            <w:r>
              <w:t>Champion identified</w:t>
            </w:r>
          </w:p>
        </w:tc>
      </w:tr>
      <w:tr>
        <w:tc>
          <w:tcPr>
            <w:tcW w:type="dxa" w:w="2880"/>
          </w:tcPr>
          <w:p>
            <w:r>
              <w:t>Proposal</w:t>
            </w:r>
          </w:p>
        </w:tc>
        <w:tc>
          <w:tcPr>
            <w:tcW w:type="dxa" w:w="2880"/>
          </w:tcPr>
          <w:p>
            <w:r>
              <w:t>Solution Deck</w:t>
            </w:r>
          </w:p>
        </w:tc>
        <w:tc>
          <w:tcPr>
            <w:tcW w:type="dxa" w:w="2880"/>
          </w:tcPr>
          <w:p>
            <w:r>
              <w:t>Commercial review</w:t>
            </w:r>
          </w:p>
        </w:tc>
      </w:tr>
      <w:tr>
        <w:tc>
          <w:tcPr>
            <w:tcW w:type="dxa" w:w="2880"/>
          </w:tcPr>
          <w:p>
            <w:r>
              <w:t>Negotiation</w:t>
            </w:r>
          </w:p>
        </w:tc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Procurement engaged</w:t>
            </w:r>
          </w:p>
        </w:tc>
      </w:tr>
      <w:tr>
        <w:tc>
          <w:tcPr>
            <w:tcW w:type="dxa" w:w="2880"/>
          </w:tcPr>
          <w:p>
            <w:r>
              <w:t>Closing</w:t>
            </w:r>
          </w:p>
        </w:tc>
        <w:tc>
          <w:tcPr>
            <w:tcW w:type="dxa" w:w="2880"/>
          </w:tcPr>
          <w:p>
            <w:r>
              <w:t>Contract</w:t>
            </w:r>
          </w:p>
        </w:tc>
        <w:tc>
          <w:tcPr>
            <w:tcW w:type="dxa" w:w="2880"/>
          </w:tcPr>
          <w:p>
            <w:r>
              <w:t>Project kickoff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