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 Studies</w:t>
      </w:r>
    </w:p>
    <w:p>
      <w:r>
        <w:t>Document ID: REL-CS-001</w:t>
        <w:br/>
        <w:t>Version: 1.0</w:t>
        <w:br/>
        <w:t>Department: Customer Success</w:t>
      </w:r>
    </w:p>
    <w:p>
      <w:pPr>
        <w:pStyle w:val="Heading2"/>
      </w:pPr>
      <w:r>
        <w:t>Case Study 1 – OEM Brake Quality Improvement</w:t>
      </w:r>
    </w:p>
    <w:p>
      <w:r>
        <w:rPr>
          <w:b/>
        </w:rPr>
        <w:t>Customer: Orion Motors (Passenger Vehicle OEM)</w:t>
      </w:r>
    </w:p>
    <w:p>
      <w:pPr>
        <w:pStyle w:val="Heading3"/>
      </w:pPr>
      <w:r>
        <w:t>Business Challenge</w:t>
      </w:r>
    </w:p>
    <w:p>
      <w:r>
        <w:t>High brake warranty claims (3.8%) and inconsistent supplier quality.</w:t>
      </w:r>
    </w:p>
    <w:p>
      <w:pPr>
        <w:pStyle w:val="Heading3"/>
      </w:pPr>
      <w:r>
        <w:t>Solution</w:t>
      </w:r>
    </w:p>
    <w:p>
      <w:r>
        <w:t>Implemented Relanto premium ceramic brake pads with AI-based quality inspection and standardized PPAP process.</w:t>
      </w:r>
    </w:p>
    <w:p>
      <w:pPr>
        <w:pStyle w:val="Heading3"/>
      </w:pPr>
      <w:r>
        <w:t>Results</w:t>
      </w:r>
    </w:p>
    <w:p>
      <w:r>
        <w:t>Warranty claims reduced to 1.2%, inspection time reduced 35%, customer satisfaction improved.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Outcome</w:t>
            </w:r>
          </w:p>
        </w:tc>
      </w:tr>
      <w:tr>
        <w:tc>
          <w:tcPr>
            <w:tcW w:type="dxa" w:w="4320"/>
          </w:tcPr>
          <w:p>
            <w:r>
              <w:t>Implementation Time</w:t>
            </w:r>
          </w:p>
        </w:tc>
        <w:tc>
          <w:tcPr>
            <w:tcW w:type="dxa" w:w="4320"/>
          </w:tcPr>
          <w:p>
            <w:r>
              <w:t>8 Weeks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&lt;12 Months</w:t>
            </w:r>
          </w:p>
        </w:tc>
      </w:tr>
      <w:tr>
        <w:tc>
          <w:tcPr>
            <w:tcW w:type="dxa" w:w="4320"/>
          </w:tcPr>
          <w:p>
            <w:r>
              <w:t>Customer Satisfaction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Support Tickets</w:t>
            </w:r>
          </w:p>
        </w:tc>
        <w:tc>
          <w:tcPr>
            <w:tcW w:type="dxa" w:w="4320"/>
          </w:tcPr>
          <w:p>
            <w:r>
              <w:t>-28%</w:t>
            </w:r>
          </w:p>
        </w:tc>
      </w:tr>
    </w:tbl>
    <w:p>
      <w:pPr>
        <w:pStyle w:val="Heading2"/>
      </w:pPr>
      <w:r>
        <w:t>Case Study 2 – EV Manufacturer</w:t>
      </w:r>
    </w:p>
    <w:p>
      <w:r>
        <w:rPr>
          <w:b/>
        </w:rPr>
        <w:t>Customer: VoltDrive EV</w:t>
      </w:r>
    </w:p>
    <w:p>
      <w:pPr>
        <w:pStyle w:val="Heading3"/>
      </w:pPr>
      <w:r>
        <w:t>Business Challenge</w:t>
      </w:r>
    </w:p>
    <w:p>
      <w:r>
        <w:t>Needed lightweight braking components to improve driving range.</w:t>
      </w:r>
    </w:p>
    <w:p>
      <w:pPr>
        <w:pStyle w:val="Heading3"/>
      </w:pPr>
      <w:r>
        <w:t>Solution</w:t>
      </w:r>
    </w:p>
    <w:p>
      <w:r>
        <w:t>Adopted lightweight brake discs and ABS sensors integrated into existing platform.</w:t>
      </w:r>
    </w:p>
    <w:p>
      <w:pPr>
        <w:pStyle w:val="Heading3"/>
      </w:pPr>
      <w:r>
        <w:t>Results</w:t>
      </w:r>
    </w:p>
    <w:p>
      <w:r>
        <w:t>Vehicle weight reduced by 4.2 kg, braking stability improved, range increased by ~1.5%.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Outcome</w:t>
            </w:r>
          </w:p>
        </w:tc>
      </w:tr>
      <w:tr>
        <w:tc>
          <w:tcPr>
            <w:tcW w:type="dxa" w:w="4320"/>
          </w:tcPr>
          <w:p>
            <w:r>
              <w:t>Implementation Time</w:t>
            </w:r>
          </w:p>
        </w:tc>
        <w:tc>
          <w:tcPr>
            <w:tcW w:type="dxa" w:w="4320"/>
          </w:tcPr>
          <w:p>
            <w:r>
              <w:t>8 Weeks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&lt;12 Months</w:t>
            </w:r>
          </w:p>
        </w:tc>
      </w:tr>
      <w:tr>
        <w:tc>
          <w:tcPr>
            <w:tcW w:type="dxa" w:w="4320"/>
          </w:tcPr>
          <w:p>
            <w:r>
              <w:t>Customer Satisfaction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Support Tickets</w:t>
            </w:r>
          </w:p>
        </w:tc>
        <w:tc>
          <w:tcPr>
            <w:tcW w:type="dxa" w:w="4320"/>
          </w:tcPr>
          <w:p>
            <w:r>
              <w:t>-28%</w:t>
            </w:r>
          </w:p>
        </w:tc>
      </w:tr>
    </w:tbl>
    <w:p>
      <w:pPr>
        <w:pStyle w:val="Heading2"/>
      </w:pPr>
      <w:r>
        <w:t>Case Study 3 – Fleet Operator</w:t>
      </w:r>
    </w:p>
    <w:p>
      <w:r>
        <w:rPr>
          <w:b/>
        </w:rPr>
        <w:t>Customer: TransLog Fleet Services</w:t>
      </w:r>
    </w:p>
    <w:p>
      <w:pPr>
        <w:pStyle w:val="Heading3"/>
      </w:pPr>
      <w:r>
        <w:t>Business Challenge</w:t>
      </w:r>
    </w:p>
    <w:p>
      <w:r>
        <w:t>Frequent downtime due to premature bearing failures.</w:t>
      </w:r>
    </w:p>
    <w:p>
      <w:pPr>
        <w:pStyle w:val="Heading3"/>
      </w:pPr>
      <w:r>
        <w:t>Solution</w:t>
      </w:r>
    </w:p>
    <w:p>
      <w:r>
        <w:t>Introduced heavy-duty bearing series and predictive maintenance schedule.</w:t>
      </w:r>
    </w:p>
    <w:p>
      <w:pPr>
        <w:pStyle w:val="Heading3"/>
      </w:pPr>
      <w:r>
        <w:t>Results</w:t>
      </w:r>
    </w:p>
    <w:p>
      <w:r>
        <w:t>Maintenance cost reduced 22%, bearing life increased 30%, downtime reduced 18%.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Outcome</w:t>
            </w:r>
          </w:p>
        </w:tc>
      </w:tr>
      <w:tr>
        <w:tc>
          <w:tcPr>
            <w:tcW w:type="dxa" w:w="4320"/>
          </w:tcPr>
          <w:p>
            <w:r>
              <w:t>Implementation Time</w:t>
            </w:r>
          </w:p>
        </w:tc>
        <w:tc>
          <w:tcPr>
            <w:tcW w:type="dxa" w:w="4320"/>
          </w:tcPr>
          <w:p>
            <w:r>
              <w:t>8 Weeks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&lt;12 Months</w:t>
            </w:r>
          </w:p>
        </w:tc>
      </w:tr>
      <w:tr>
        <w:tc>
          <w:tcPr>
            <w:tcW w:type="dxa" w:w="4320"/>
          </w:tcPr>
          <w:p>
            <w:r>
              <w:t>Customer Satisfaction</w:t>
            </w:r>
          </w:p>
        </w:tc>
        <w:tc>
          <w:tcPr>
            <w:tcW w:type="dxa" w:w="4320"/>
          </w:tcPr>
          <w:p>
            <w:r>
              <w:t>+15%</w:t>
            </w:r>
          </w:p>
        </w:tc>
      </w:tr>
      <w:tr>
        <w:tc>
          <w:tcPr>
            <w:tcW w:type="dxa" w:w="4320"/>
          </w:tcPr>
          <w:p>
            <w:r>
              <w:t>Support Tickets</w:t>
            </w:r>
          </w:p>
        </w:tc>
        <w:tc>
          <w:tcPr>
            <w:tcW w:type="dxa" w:w="4320"/>
          </w:tcPr>
          <w:p>
            <w:r>
              <w:t>-28%</w:t>
            </w:r>
          </w:p>
        </w:tc>
      </w:tr>
    </w:tbl>
    <w:p>
      <w:pPr>
        <w:pStyle w:val="Heading2"/>
      </w:pPr>
      <w:r>
        <w:t>Key Takeaways</w:t>
      </w:r>
    </w:p>
    <w:p>
      <w:pPr>
        <w:pStyle w:val="ListBullet"/>
      </w:pPr>
      <w:r>
        <w:t>Quantify business outcomes.</w:t>
      </w:r>
    </w:p>
    <w:p>
      <w:pPr>
        <w:pStyle w:val="ListBullet"/>
      </w:pPr>
      <w:r>
        <w:t>Reference relevant certifications.</w:t>
      </w:r>
    </w:p>
    <w:p>
      <w:pPr>
        <w:pStyle w:val="ListBullet"/>
      </w:pPr>
      <w:r>
        <w:t>Link products to measurable ROI.</w:t>
      </w:r>
    </w:p>
    <w:p>
      <w:pPr>
        <w:pStyle w:val="ListBullet"/>
      </w:pPr>
      <w:r>
        <w:t>Capture lessons learned in CRM.</w:t>
      </w:r>
    </w:p>
    <w:p>
      <w:pPr>
        <w:pStyle w:val="ListBullet"/>
      </w:pPr>
      <w:r>
        <w:t>Use these stories during discovery and proposal stages.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