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Pricing Policies</w:t>
      </w:r>
    </w:p>
    <w:p>
      <w:r>
        <w:t>Document ID: REL-PRICE-001</w:t>
        <w:br/>
        <w:t>Version: 1.0</w:t>
        <w:br/>
        <w:t>Department: Commercial &amp; Finance</w:t>
      </w:r>
    </w:p>
    <w:p>
      <w:pPr>
        <w:pStyle w:val="Heading2"/>
      </w:pPr>
      <w:r>
        <w:t>Purpose</w:t>
      </w:r>
    </w:p>
    <w:p>
      <w:r>
        <w:t>This document defines Relanto Automotive Solutions' pricing principles, discount structures, payment terms, commercial approval process, and regional pricing guidelines for OEMs, Tier-1 suppliers, distributors, and aftermarket customers.</w:t>
      </w:r>
    </w:p>
    <w:p>
      <w:pPr>
        <w:pStyle w:val="Heading2"/>
      </w:pPr>
      <w:r>
        <w:t>Pricing Philosophy</w:t>
      </w:r>
    </w:p>
    <w:p>
      <w:r>
        <w:t>Pricing is value-based and considers product quality, engineering complexity, annual purchase volume, customer relationship, market conditions, and long-term strategic value.</w:t>
      </w:r>
    </w:p>
    <w:p>
      <w:pPr>
        <w:pStyle w:val="Heading2"/>
      </w:pPr>
      <w:r>
        <w:t>Customer Segments</w:t>
      </w:r>
    </w:p>
    <w:p>
      <w:r>
        <w:t>Pricing varies for OEMs, Tier-1 suppliers, distributors, fleet operators, and aftermarket retailers. Enterprise customers receive negotiated commercial agreements.</w:t>
      </w:r>
    </w:p>
    <w:p>
      <w:pPr>
        <w:pStyle w:val="Heading2"/>
      </w:pPr>
      <w:r>
        <w:t>Discount Policy</w:t>
      </w:r>
    </w:p>
    <w:p>
      <w:r>
        <w:t>Volume discounts are offered based on annual commitments. Promotional pricing requires commercial approval. Additional incentives may apply for multi-product engagements.</w:t>
      </w:r>
    </w:p>
    <w:p>
      <w:pPr>
        <w:pStyle w:val="Heading2"/>
      </w:pPr>
      <w:r>
        <w:t>Payment Terms</w:t>
      </w:r>
    </w:p>
    <w:p>
      <w:r>
        <w:t>Standard payment terms are Net 30. Strategic OEM contracts may use Net 60 or milestone-based payments. Early payment discounts may be available.</w:t>
      </w:r>
    </w:p>
    <w:p>
      <w:pPr>
        <w:pStyle w:val="Heading2"/>
      </w:pPr>
      <w:r>
        <w:t>Regional Pricing</w:t>
      </w:r>
    </w:p>
    <w:p>
      <w:r>
        <w:t>Regional pricing considers logistics, import duties, currency fluctuations, and local taxation. Local sales teams review regional pricing quarterly.</w:t>
      </w:r>
    </w:p>
    <w:p>
      <w:pPr>
        <w:pStyle w:val="Heading2"/>
      </w:pPr>
      <w:r>
        <w:t>Commercial Approval</w:t>
      </w:r>
    </w:p>
    <w:p>
      <w:r>
        <w:t>Sales representatives prepare pricing proposals. Regional Sales Managers approve standard discounts, while strategic pricing requires Commercial Director approval.</w:t>
      </w:r>
    </w:p>
    <w:p>
      <w:pPr>
        <w:pStyle w:val="Heading2"/>
      </w:pPr>
      <w:r>
        <w:t>Sample Discount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Annual Purchase Value</w:t>
            </w:r>
          </w:p>
        </w:tc>
        <w:tc>
          <w:tcPr>
            <w:tcW w:type="dxa" w:w="2880"/>
          </w:tcPr>
          <w:p>
            <w:r>
              <w:t>Typical Discount</w:t>
            </w:r>
          </w:p>
        </w:tc>
        <w:tc>
          <w:tcPr>
            <w:tcW w:type="dxa" w:w="2880"/>
          </w:tcPr>
          <w:p>
            <w:r>
              <w:t>Approval Level</w:t>
            </w:r>
          </w:p>
        </w:tc>
      </w:tr>
      <w:tr>
        <w:tc>
          <w:tcPr>
            <w:tcW w:type="dxa" w:w="2880"/>
          </w:tcPr>
          <w:p>
            <w:r>
              <w:t>&lt; $250K</w:t>
            </w:r>
          </w:p>
        </w:tc>
        <w:tc>
          <w:tcPr>
            <w:tcW w:type="dxa" w:w="2880"/>
          </w:tcPr>
          <w:p>
            <w:r>
              <w:t>0–3%</w:t>
            </w:r>
          </w:p>
        </w:tc>
        <w:tc>
          <w:tcPr>
            <w:tcW w:type="dxa" w:w="2880"/>
          </w:tcPr>
          <w:p>
            <w:r>
              <w:t>Sales Manager</w:t>
            </w:r>
          </w:p>
        </w:tc>
      </w:tr>
      <w:tr>
        <w:tc>
          <w:tcPr>
            <w:tcW w:type="dxa" w:w="2880"/>
          </w:tcPr>
          <w:p>
            <w:r>
              <w:t>$250K – $1M</w:t>
            </w:r>
          </w:p>
        </w:tc>
        <w:tc>
          <w:tcPr>
            <w:tcW w:type="dxa" w:w="2880"/>
          </w:tcPr>
          <w:p>
            <w:r>
              <w:t>5–8%</w:t>
            </w:r>
          </w:p>
        </w:tc>
        <w:tc>
          <w:tcPr>
            <w:tcW w:type="dxa" w:w="2880"/>
          </w:tcPr>
          <w:p>
            <w:r>
              <w:t>Regional Manager</w:t>
            </w:r>
          </w:p>
        </w:tc>
      </w:tr>
      <w:tr>
        <w:tc>
          <w:tcPr>
            <w:tcW w:type="dxa" w:w="2880"/>
          </w:tcPr>
          <w:p>
            <w:r>
              <w:t>$1M – $5M</w:t>
            </w:r>
          </w:p>
        </w:tc>
        <w:tc>
          <w:tcPr>
            <w:tcW w:type="dxa" w:w="2880"/>
          </w:tcPr>
          <w:p>
            <w:r>
              <w:t>8–12%</w:t>
            </w:r>
          </w:p>
        </w:tc>
        <w:tc>
          <w:tcPr>
            <w:tcW w:type="dxa" w:w="2880"/>
          </w:tcPr>
          <w:p>
            <w:r>
              <w:t>Commercial Director</w:t>
            </w:r>
          </w:p>
        </w:tc>
      </w:tr>
      <w:tr>
        <w:tc>
          <w:tcPr>
            <w:tcW w:type="dxa" w:w="2880"/>
          </w:tcPr>
          <w:p>
            <w:r>
              <w:t>&gt;$5M</w:t>
            </w:r>
          </w:p>
        </w:tc>
        <w:tc>
          <w:tcPr>
            <w:tcW w:type="dxa" w:w="2880"/>
          </w:tcPr>
          <w:p>
            <w:r>
              <w:t>Custom</w:t>
            </w:r>
          </w:p>
        </w:tc>
        <w:tc>
          <w:tcPr>
            <w:tcW w:type="dxa" w:w="2880"/>
          </w:tcPr>
          <w:p>
            <w:r>
              <w:t>Executive Committee</w:t>
            </w:r>
          </w:p>
        </w:tc>
      </w:tr>
    </w:tbl>
    <w:p>
      <w:pPr>
        <w:pStyle w:val="Heading2"/>
      </w:pPr>
      <w:r>
        <w:t>Best Practices</w:t>
      </w:r>
    </w:p>
    <w:p>
      <w:pPr>
        <w:pStyle w:val="ListBullet"/>
      </w:pPr>
      <w:r>
        <w:t>Lead with value before discussing discounts.</w:t>
      </w:r>
    </w:p>
    <w:p>
      <w:pPr>
        <w:pStyle w:val="ListBullet"/>
      </w:pPr>
      <w:r>
        <w:t>Use ROI and case studies to justify premium pricing.</w:t>
      </w:r>
    </w:p>
    <w:p>
      <w:pPr>
        <w:pStyle w:val="ListBullet"/>
      </w:pPr>
      <w:r>
        <w:t>Document all commercial exceptions in CRM.</w:t>
      </w:r>
    </w:p>
    <w:p>
      <w:pPr>
        <w:pStyle w:val="ListBullet"/>
      </w:pPr>
      <w:r>
        <w:t>Review competitor pricing before final negotiations.</w:t>
      </w:r>
    </w:p>
    <w:p>
      <w:pPr>
        <w:pStyle w:val="ListBullet"/>
      </w:pPr>
      <w:r>
        <w:t>Obtain approvals before issuing formal quotations.</w:t>
      </w:r>
    </w:p>
    <w:p>
      <w:pPr>
        <w:pStyle w:val="Heading2"/>
      </w:pPr>
      <w:r>
        <w:t>Metadata</w:t>
      </w:r>
    </w:p>
    <w:p>
      <w:r>
        <w:t>Keywords: pricing, discounts, OEM, commercial policy, payment terms, approval workflow, regional pricing.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