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Warranty Documents</w:t>
      </w:r>
    </w:p>
    <w:p>
      <w:r>
        <w:t>Document ID: REL-WAR-001</w:t>
        <w:br/>
        <w:t>Version: 1.0</w:t>
        <w:br/>
        <w:t>Department: Customer Support &amp; Quality Assurance</w:t>
      </w:r>
    </w:p>
    <w:p>
      <w:pPr>
        <w:pStyle w:val="Heading2"/>
      </w:pPr>
      <w:r>
        <w:t>Purpose</w:t>
      </w:r>
    </w:p>
    <w:p>
      <w:r>
        <w:t>This document defines Relanto Automotive Solutions' warranty policies for automotive products. It outlines warranty coverage, exclusions, claim procedures, service-level agreements (SLAs), and customer responsibilities to ensure a consistent post-sales experience.</w:t>
      </w:r>
    </w:p>
    <w:p>
      <w:pPr>
        <w:pStyle w:val="Heading2"/>
      </w:pPr>
      <w:r>
        <w:t>Warranty Coverage</w:t>
      </w:r>
    </w:p>
    <w:p>
      <w:r>
        <w:t>Relanto provides warranty coverage for manufacturing defects under normal operating conditions. Coverage periods vary by product family and begin from the date of shipment or installation, as specified in the customer contract.</w:t>
      </w:r>
    </w:p>
    <w:p>
      <w:pPr>
        <w:pStyle w:val="Heading2"/>
      </w:pPr>
      <w:r>
        <w:t>Warranty Periods</w:t>
      </w:r>
    </w:p>
    <w:p>
      <w:r>
        <w:t>Brake Pads: 24 months</w:t>
        <w:br/>
        <w:t>Brake Discs: 36 months</w:t>
        <w:br/>
        <w:t>Bearings: 36 months</w:t>
        <w:br/>
        <w:t>ABS Sensors: 24 months</w:t>
        <w:br/>
        <w:t>Suspension Components: 36 months</w:t>
      </w:r>
    </w:p>
    <w:p>
      <w:pPr>
        <w:pStyle w:val="Heading2"/>
      </w:pPr>
      <w:r>
        <w:t>Warranty Exclusions</w:t>
      </w:r>
    </w:p>
    <w:p>
      <w:r>
        <w:t>Warranty does not cover damage caused by improper installation, misuse, unauthorized modifications, accidents, racing applications, lack of preventive maintenance, or normal wear and tear.</w:t>
      </w:r>
    </w:p>
    <w:p>
      <w:pPr>
        <w:pStyle w:val="Heading2"/>
      </w:pPr>
      <w:r>
        <w:t>Customer Responsibilities</w:t>
      </w:r>
    </w:p>
    <w:p>
      <w:r>
        <w:t>Customers must install products according to technical documentation, maintain service records, report failures promptly, and preserve failed components for engineering inspection.</w:t>
      </w:r>
    </w:p>
    <w:p>
      <w:pPr>
        <w:pStyle w:val="Heading2"/>
      </w:pPr>
      <w:r>
        <w:t>Dealer Responsibilities</w:t>
      </w:r>
    </w:p>
    <w:p>
      <w:r>
        <w:t>Authorized dealers must validate warranty claims, collect supporting documentation, perform preliminary inspections, and coordinate replacement activities with Relanto support teams.</w:t>
      </w:r>
    </w:p>
    <w:p>
      <w:pPr>
        <w:pStyle w:val="Heading2"/>
      </w:pPr>
      <w:r>
        <w:t>Claim Review Process</w:t>
      </w:r>
    </w:p>
    <w:p>
      <w:r>
        <w:t>Each warranty claim is reviewed by Quality Engineering. Root cause analysis, inspection reports, manufacturing records, and customer evidence are evaluated before approval.</w:t>
      </w:r>
    </w:p>
    <w:p>
      <w:pPr>
        <w:pStyle w:val="Heading2"/>
      </w:pPr>
      <w:r>
        <w:t>Warranty Claim Workflow</w:t>
      </w:r>
    </w:p>
    <w:p>
      <w:pPr>
        <w:pStyle w:val="ListBullet"/>
      </w:pPr>
      <w:r>
        <w:t>1. Customer reports issue.</w:t>
      </w:r>
    </w:p>
    <w:p>
      <w:pPr>
        <w:pStyle w:val="ListBullet"/>
      </w:pPr>
      <w:r>
        <w:t>2. Dealer validates installation details.</w:t>
      </w:r>
    </w:p>
    <w:p>
      <w:pPr>
        <w:pStyle w:val="ListBullet"/>
      </w:pPr>
      <w:r>
        <w:t>3. Warranty request submitted through CRM.</w:t>
      </w:r>
    </w:p>
    <w:p>
      <w:pPr>
        <w:pStyle w:val="ListBullet"/>
      </w:pPr>
      <w:r>
        <w:t>4. Quality team reviews documentation.</w:t>
      </w:r>
    </w:p>
    <w:p>
      <w:pPr>
        <w:pStyle w:val="ListBullet"/>
      </w:pPr>
      <w:r>
        <w:t>5. Engineering performs root cause analysis.</w:t>
      </w:r>
    </w:p>
    <w:p>
      <w:pPr>
        <w:pStyle w:val="ListBullet"/>
      </w:pPr>
      <w:r>
        <w:t>6. Claim approved or rejected.</w:t>
      </w:r>
    </w:p>
    <w:p>
      <w:pPr>
        <w:pStyle w:val="ListBullet"/>
      </w:pPr>
      <w:r>
        <w:t>7. Replacement or corrective action initiated.</w:t>
      </w:r>
    </w:p>
    <w:p>
      <w:pPr>
        <w:pStyle w:val="ListBullet"/>
      </w:pPr>
      <w:r>
        <w:t>8. Lessons learned recorded for continuous improvement.</w:t>
      </w:r>
    </w:p>
    <w:p>
      <w:pPr>
        <w:pStyle w:val="Heading2"/>
      </w:pPr>
      <w:r>
        <w:t>Required Supporting Documents</w:t>
      </w:r>
    </w:p>
    <w:tbl>
      <w:tblPr>
        <w:tblW w:type="auto" w:w="0"/>
        <w:tblLook w:firstColumn="1" w:firstRow="1" w:lastColumn="0" w:lastRow="0" w:noHBand="0" w:noVBand="1" w:val="04A0"/>
      </w:tblPr>
      <w:tblGrid>
        <w:gridCol w:w="4320"/>
        <w:gridCol w:w="4320"/>
      </w:tblGrid>
      <w:tr>
        <w:tc>
          <w:tcPr>
            <w:tcW w:type="dxa" w:w="4320"/>
          </w:tcPr>
          <w:p>
            <w:r>
              <w:t>Document</w:t>
            </w:r>
          </w:p>
        </w:tc>
        <w:tc>
          <w:tcPr>
            <w:tcW w:type="dxa" w:w="4320"/>
          </w:tcPr>
          <w:p>
            <w:r>
              <w:t>Purpose</w:t>
            </w:r>
          </w:p>
        </w:tc>
      </w:tr>
      <w:tr>
        <w:tc>
          <w:tcPr>
            <w:tcW w:type="dxa" w:w="4320"/>
          </w:tcPr>
          <w:p>
            <w:r>
              <w:t>Purchase Invoice</w:t>
            </w:r>
          </w:p>
        </w:tc>
        <w:tc>
          <w:tcPr>
            <w:tcW w:type="dxa" w:w="4320"/>
          </w:tcPr>
          <w:p>
            <w:r>
              <w:t>Verify product eligibility</w:t>
            </w:r>
          </w:p>
        </w:tc>
      </w:tr>
      <w:tr>
        <w:tc>
          <w:tcPr>
            <w:tcW w:type="dxa" w:w="4320"/>
          </w:tcPr>
          <w:p>
            <w:r>
              <w:t>Installation Record</w:t>
            </w:r>
          </w:p>
        </w:tc>
        <w:tc>
          <w:tcPr>
            <w:tcW w:type="dxa" w:w="4320"/>
          </w:tcPr>
          <w:p>
            <w:r>
              <w:t>Confirm proper installation</w:t>
            </w:r>
          </w:p>
        </w:tc>
      </w:tr>
      <w:tr>
        <w:tc>
          <w:tcPr>
            <w:tcW w:type="dxa" w:w="4320"/>
          </w:tcPr>
          <w:p>
            <w:r>
              <w:t>Product Photographs</w:t>
            </w:r>
          </w:p>
        </w:tc>
        <w:tc>
          <w:tcPr>
            <w:tcW w:type="dxa" w:w="4320"/>
          </w:tcPr>
          <w:p>
            <w:r>
              <w:t>Visual defect assessment</w:t>
            </w:r>
          </w:p>
        </w:tc>
      </w:tr>
      <w:tr>
        <w:tc>
          <w:tcPr>
            <w:tcW w:type="dxa" w:w="4320"/>
          </w:tcPr>
          <w:p>
            <w:r>
              <w:t>Inspection Report</w:t>
            </w:r>
          </w:p>
        </w:tc>
        <w:tc>
          <w:tcPr>
            <w:tcW w:type="dxa" w:w="4320"/>
          </w:tcPr>
          <w:p>
            <w:r>
              <w:t>Technical evaluation</w:t>
            </w:r>
          </w:p>
        </w:tc>
      </w:tr>
      <w:tr>
        <w:tc>
          <w:tcPr>
            <w:tcW w:type="dxa" w:w="4320"/>
          </w:tcPr>
          <w:p>
            <w:r>
              <w:t>Vehicle Details</w:t>
            </w:r>
          </w:p>
        </w:tc>
        <w:tc>
          <w:tcPr>
            <w:tcW w:type="dxa" w:w="4320"/>
          </w:tcPr>
          <w:p>
            <w:r>
              <w:t>Application verification</w:t>
            </w:r>
          </w:p>
        </w:tc>
      </w:tr>
      <w:tr>
        <w:tc>
          <w:tcPr>
            <w:tcW w:type="dxa" w:w="4320"/>
          </w:tcPr>
          <w:p>
            <w:r>
              <w:t>Service History</w:t>
            </w:r>
          </w:p>
        </w:tc>
        <w:tc>
          <w:tcPr>
            <w:tcW w:type="dxa" w:w="4320"/>
          </w:tcPr>
          <w:p>
            <w:r>
              <w:t>Maintenance verification</w:t>
            </w:r>
          </w:p>
        </w:tc>
      </w:tr>
    </w:tbl>
    <w:p>
      <w:pPr>
        <w:pStyle w:val="Heading2"/>
      </w:pPr>
      <w:r>
        <w:t>Service-Level Agreements (SLAs)</w:t>
      </w:r>
    </w:p>
    <w:tbl>
      <w:tblPr>
        <w:tblW w:type="auto" w:w="0"/>
        <w:tblLook w:firstColumn="1" w:firstRow="1" w:lastColumn="0" w:lastRow="0" w:noHBand="0" w:noVBand="1" w:val="04A0"/>
      </w:tblPr>
      <w:tblGrid>
        <w:gridCol w:w="4320"/>
        <w:gridCol w:w="4320"/>
      </w:tblGrid>
      <w:tr>
        <w:tc>
          <w:tcPr>
            <w:tcW w:type="dxa" w:w="4320"/>
          </w:tcPr>
          <w:p>
            <w:r>
              <w:t>Activity</w:t>
            </w:r>
          </w:p>
        </w:tc>
        <w:tc>
          <w:tcPr>
            <w:tcW w:type="dxa" w:w="4320"/>
          </w:tcPr>
          <w:p>
            <w:r>
              <w:t>Target</w:t>
            </w:r>
          </w:p>
        </w:tc>
      </w:tr>
      <w:tr>
        <w:tc>
          <w:tcPr>
            <w:tcW w:type="dxa" w:w="4320"/>
          </w:tcPr>
          <w:p>
            <w:r>
              <w:t>Claim Acknowledgement</w:t>
            </w:r>
          </w:p>
        </w:tc>
        <w:tc>
          <w:tcPr>
            <w:tcW w:type="dxa" w:w="4320"/>
          </w:tcPr>
          <w:p>
            <w:r>
              <w:t>Within 1 Business Day</w:t>
            </w:r>
          </w:p>
        </w:tc>
      </w:tr>
      <w:tr>
        <w:tc>
          <w:tcPr>
            <w:tcW w:type="dxa" w:w="4320"/>
          </w:tcPr>
          <w:p>
            <w:r>
              <w:t>Initial Technical Review</w:t>
            </w:r>
          </w:p>
        </w:tc>
        <w:tc>
          <w:tcPr>
            <w:tcW w:type="dxa" w:w="4320"/>
          </w:tcPr>
          <w:p>
            <w:r>
              <w:t>Within 3 Business Days</w:t>
            </w:r>
          </w:p>
        </w:tc>
      </w:tr>
      <w:tr>
        <w:tc>
          <w:tcPr>
            <w:tcW w:type="dxa" w:w="4320"/>
          </w:tcPr>
          <w:p>
            <w:r>
              <w:t>Final Decision</w:t>
            </w:r>
          </w:p>
        </w:tc>
        <w:tc>
          <w:tcPr>
            <w:tcW w:type="dxa" w:w="4320"/>
          </w:tcPr>
          <w:p>
            <w:r>
              <w:t>Within 10 Business Days</w:t>
            </w:r>
          </w:p>
        </w:tc>
      </w:tr>
      <w:tr>
        <w:tc>
          <w:tcPr>
            <w:tcW w:type="dxa" w:w="4320"/>
          </w:tcPr>
          <w:p>
            <w:r>
              <w:t>Replacement Shipment</w:t>
            </w:r>
          </w:p>
        </w:tc>
        <w:tc>
          <w:tcPr>
            <w:tcW w:type="dxa" w:w="4320"/>
          </w:tcPr>
          <w:p>
            <w:r>
              <w:t>Within 5 Business Days after approval</w:t>
            </w:r>
          </w:p>
        </w:tc>
      </w:tr>
    </w:tbl>
    <w:p>
      <w:pPr>
        <w:pStyle w:val="Heading2"/>
      </w:pPr>
      <w:r>
        <w:t>Best Practices</w:t>
      </w:r>
    </w:p>
    <w:p>
      <w:pPr>
        <w:pStyle w:val="ListBullet"/>
      </w:pPr>
      <w:r>
        <w:t>Maintain complete traceability using batch numbers.</w:t>
      </w:r>
    </w:p>
    <w:p>
      <w:pPr>
        <w:pStyle w:val="ListBullet"/>
      </w:pPr>
      <w:r>
        <w:t>Retain failed components until engineering review is complete.</w:t>
      </w:r>
    </w:p>
    <w:p>
      <w:pPr>
        <w:pStyle w:val="ListBullet"/>
      </w:pPr>
      <w:r>
        <w:t>Record all warranty interactions in CRM.</w:t>
      </w:r>
    </w:p>
    <w:p>
      <w:pPr>
        <w:pStyle w:val="ListBullet"/>
      </w:pPr>
      <w:r>
        <w:t>Use warranty trends to improve product quality.</w:t>
      </w:r>
    </w:p>
    <w:p>
      <w:pPr>
        <w:pStyle w:val="ListBullet"/>
      </w:pPr>
      <w:r>
        <w:t>Share recurring issues with Product Engineering.</w:t>
      </w:r>
    </w:p>
    <w:p>
      <w:pPr>
        <w:pStyle w:val="Heading2"/>
      </w:pPr>
      <w:r>
        <w:t>Metadata</w:t>
      </w:r>
    </w:p>
    <w:p>
      <w:r>
        <w:t>Keywords: warranty, claims, SLA, quality assurance, replacement policy, customer support, product traceability.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