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B6591">
      <w:pPr>
        <w:spacing w:line="240" w:lineRule="auto"/>
        <w:ind w:left="0" w:leftChars="0"/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《道德经》的哲学智慧及其现代启示</w:t>
      </w:r>
      <w:bookmarkStart w:id="0" w:name="_GoBack"/>
      <w:bookmarkEnd w:id="0"/>
    </w:p>
    <w:p w14:paraId="38434FEA">
      <w:pPr>
        <w:spacing w:line="240" w:lineRule="auto"/>
        <w:ind w:left="0" w:leftChars="0"/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55058036">
      <w:pPr>
        <w:spacing w:line="240" w:lineRule="auto"/>
        <w:ind w:left="0" w:leftChars="0"/>
        <w:jc w:val="center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智能科学与技术1班 2023337621312 童逸轩</w:t>
      </w:r>
    </w:p>
    <w:p w14:paraId="43E1735C">
      <w:pPr>
        <w:spacing w:line="360" w:lineRule="auto"/>
        <w:rPr>
          <w:rFonts w:hint="eastAsia"/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24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摘要： </w:t>
      </w:r>
      <w:r>
        <w:rPr>
          <w:rFonts w:hint="eastAsia" w:ascii="楷体" w:hAnsi="楷体" w:eastAsia="楷体" w:cs="楷体"/>
          <w:kern w:val="0"/>
          <w:sz w:val="21"/>
          <w:szCs w:val="21"/>
          <w:lang w:val="en-US" w:eastAsia="zh-CN" w:bidi="ar-SA"/>
        </w:rPr>
        <w:t>本文通过对《道德经》的文本细读与跨学科解析，系统探讨"道法自然"哲学体系的三大维度：宇宙观层面的天人关系重构，社会观层面的无为而治范式，人生观层面的致虚守静修为。老子思想中"反者道之动"的辩证思维、"柔弱胜刚强"的价值取向、"大制不割"的整体观念，对解决现代社会的生态危机、治理困境与精神焦虑具有重要启示</w:t>
      </w:r>
    </w:p>
    <w:p w14:paraId="5675F9E6">
      <w:pPr>
        <w:spacing w:line="360" w:lineRule="auto"/>
        <w:rPr>
          <w:rFonts w:hint="eastAsia"/>
        </w:rPr>
      </w:pPr>
      <w:r>
        <w:rPr>
          <w:rFonts w:hint="eastAsia" w:ascii="黑体" w:eastAsia="黑体" w:cs="Times New Roman" w:hAnsiTheme="minorHAnsi"/>
          <w:bCs/>
          <w:color w:val="000000" w:themeColor="text1"/>
          <w:kern w:val="0"/>
          <w:sz w:val="24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关键词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楷体" w:hAnsi="楷体" w:eastAsia="楷体" w:cs="楷体"/>
          <w:kern w:val="0"/>
          <w:sz w:val="21"/>
          <w:szCs w:val="21"/>
          <w:lang w:val="en-US" w:eastAsia="zh-CN" w:bidi="ar-SA"/>
        </w:rPr>
        <w:t>道德经；道法自然；无为而治；生态哲学；现代性反思</w:t>
      </w:r>
    </w:p>
    <w:p w14:paraId="4329F866">
      <w:pPr>
        <w:rPr>
          <w:rFonts w:hint="eastAsia"/>
        </w:rPr>
      </w:pPr>
    </w:p>
    <w:p w14:paraId="4AB23A86">
      <w:pPr>
        <w:numPr>
          <w:ilvl w:val="0"/>
          <w:numId w:val="1"/>
        </w:numPr>
        <w:spacing w:line="360" w:lineRule="auto"/>
        <w:ind w:left="420" w:leftChars="0" w:firstLine="420"/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引言  </w:t>
      </w:r>
    </w:p>
    <w:p w14:paraId="04CD6B1B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技术理性主导的现代社会，人类面临生态恶化、社会异化、精神虚无三重困境。《道德经》作为"中华文明的原典性著作"（陈鼓应，2016），其"人法地，地法天，天法道，道法自然"（第二十五章）的终极命题，为当代文明转型提供了独特的思想资源。本文以王弼注本为研究底本，结合郭店楚简等出土文献，从生态哲学、政治伦理、生命智慧三个向度，重新阐释这部2500年前的东方智慧经典。</w:t>
      </w:r>
    </w:p>
    <w:p w14:paraId="416F7549">
      <w:pPr>
        <w:rPr>
          <w:rFonts w:hint="eastAsia"/>
        </w:rPr>
      </w:pPr>
    </w:p>
    <w:p w14:paraId="31CFAD63">
      <w:pPr>
        <w:numPr>
          <w:ilvl w:val="0"/>
          <w:numId w:val="1"/>
        </w:numPr>
        <w:spacing w:line="360" w:lineRule="auto"/>
        <w:ind w:left="420" w:leftChars="0" w:firstLine="420"/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天道维度：生态哲学的终极追问  </w:t>
      </w:r>
    </w:p>
    <w:p w14:paraId="27C65DB3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 xml:space="preserve">一）"道生万物"的宇宙生成论  </w:t>
      </w:r>
    </w:p>
    <w:p w14:paraId="2106A570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道德经》构建了"道→一→二→三→万物"（第四十二章）的宇宙演化模型。不同于西方创世神话的人格神设定，老子以"道"这个兼具本体与规律的概念，揭示世界"自组织"演化的本质特征。这种"生而不有，为而不恃"（第五十一章）的创生模式，与现代生态学的"盖娅假说"形成跨时空对话，共同批判人类中心主义的狂妄。</w:t>
      </w:r>
    </w:p>
    <w:p w14:paraId="6F0B98BD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（二）"知止不殆"的生态限度观  </w:t>
      </w:r>
    </w:p>
    <w:p w14:paraId="237C8CF2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"甚爱必大费，多藏必厚亡"（第四十四章）的警示，与罗马俱乐部《增长的极限》形成思想共振。老子提出"去甚、去奢、去泰"（第二十九章）的发展伦理，其"小国寡民"构想并非倒退史观，而是对技术无限扩张的预警。这种思想在当代转化为"绿水青山就是金山银山"的生态文明理念，彰显东方智慧的预见性。</w:t>
      </w:r>
    </w:p>
    <w:p w14:paraId="00DFBD8C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（三）"物无弃物"的循环经济观  </w:t>
      </w:r>
    </w:p>
    <w:p w14:paraId="3ABC2F16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"圣人常善救人，故无弃人；常善救物，故无弃物"（第二十七章）的论述，蕴含深刻的循环经济思想。丹麦卡伦堡工业共生体的实践，印证了"万物负阴而抱阳，冲气以为和"（第四十二章）的系统平衡智慧，为当代绿色经济发展提供哲学依据。</w:t>
      </w:r>
    </w:p>
    <w:p w14:paraId="5BE7621F">
      <w:pPr>
        <w:numPr>
          <w:ilvl w:val="0"/>
          <w:numId w:val="1"/>
        </w:numPr>
        <w:spacing w:line="360" w:lineRule="auto"/>
        <w:ind w:left="420" w:leftChars="0" w:firstLine="420"/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治道维度：无为而治的政治伦理  </w:t>
      </w:r>
    </w:p>
    <w:p w14:paraId="11783BD8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（一）"治大国若烹小鲜"的治理哲学  </w:t>
      </w:r>
    </w:p>
    <w:p w14:paraId="35B2497F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老子以烹饪隐喻阐发"无为而治"的精髓：统治者应像烹制小鱼般减少干预（"不扰"），保持社会系统的自组织能力。这种思想与哈耶克"自发秩序"理论异曲同工，但早于西方两千年提出"其政闷闷，其民淳淳"（第五十八章）的治理理想。</w:t>
      </w:r>
    </w:p>
    <w:p w14:paraId="0F0F6A3B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（二）"以百姓心为心"的民本思想  </w:t>
      </w:r>
    </w:p>
    <w:p w14:paraId="0EE10F8C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四十九章"圣人无常心，以百姓心为心"的论述，突破商周时期"天命观"的局限，将政治合法性建立在民心向背基础上。这种民本思想虽不同于现代民主制度，但其"功成事遂，百姓皆谓我自然"（第十七章）的治理境界，对服务型政府建设具有启示意义。</w:t>
      </w:r>
    </w:p>
    <w:p w14:paraId="0A8ACAF7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（三）"兵者不祥之器"的和平主义  </w:t>
      </w:r>
    </w:p>
    <w:p w14:paraId="79741C47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面对春秋战国的征伐乱象，老子提出"夫兵者，不祥之器，物或恶之，故有道者不处"（第三十一章）。这种反战思想与康德《永久和平论》共同构成人类和平追求的两种范式，其"大者宜为下"（第六十一章）的国际关系准则，对构建人类命运共同体具有借鉴价值。</w:t>
      </w:r>
    </w:p>
    <w:p w14:paraId="729DDEF7">
      <w:pPr>
        <w:numPr>
          <w:ilvl w:val="0"/>
          <w:numId w:val="1"/>
        </w:numPr>
        <w:spacing w:line="360" w:lineRule="auto"/>
        <w:ind w:left="420" w:leftChars="0" w:firstLine="420"/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人道维度：致虚守静的生命智慧  </w:t>
      </w:r>
    </w:p>
    <w:p w14:paraId="34A367E0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（一）"反者道之动"的辩证思维  </w:t>
      </w:r>
    </w:p>
    <w:p w14:paraId="5AFC2AA9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老子揭示"祸兮福之所倚，福兮祸之所伏"（第五十八章）的辩证规律，这种洞见与黑格尔辩证法形成对照。但不同于西方辩证法的斗争哲学，老子更强调"守柔曰强"的生存智慧，为现代人应对不确定性提供心性修炼方法。</w:t>
      </w:r>
    </w:p>
    <w:p w14:paraId="33AF623F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（二）"虚其心实其腹"的异化批判  </w:t>
      </w:r>
    </w:p>
    <w:p w14:paraId="62195ED6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在"五色令人目盲"（第十二章）的警示中，老子早于马克思两千年展开对物质异化的批判。其"见素抱朴"（第十九章）的价值主张，与海德格尔"诗意栖居"形成哲学呼应，共同解构技术时代的生存困境。</w:t>
      </w:r>
    </w:p>
    <w:p w14:paraId="2DC92C90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（三）"死而不亡者寿"的生命超越  </w:t>
      </w:r>
    </w:p>
    <w:p w14:paraId="39B12E94">
      <w:pPr>
        <w:ind w:firstLine="419" w:firstLineChars="0"/>
        <w:rPr>
          <w:rFonts w:hint="eastAsia"/>
        </w:rPr>
      </w:pPr>
      <w:r>
        <w:rPr>
          <w:rFonts w:hint="eastAsia" w:ascii="宋体" w:hAnsi="宋体" w:eastAsia="宋体" w:cs="宋体"/>
          <w:sz w:val="21"/>
          <w:szCs w:val="21"/>
        </w:rPr>
        <w:t>老子突破"长生久视"的生理局限，提出"不失其所者久，死而不亡者寿"（第三十三章）的精神永恒观。这种生命智慧既不同于儒家的"三不朽"，也区别于佛教的轮回观，为当代生死哲学提供独特参照系。</w:t>
      </w:r>
    </w:p>
    <w:p w14:paraId="5BBC24E5">
      <w:pPr>
        <w:numPr>
          <w:ilvl w:val="0"/>
          <w:numId w:val="1"/>
        </w:numPr>
        <w:spacing w:line="360" w:lineRule="auto"/>
        <w:ind w:left="420" w:leftChars="0" w:firstLine="420"/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结论与启示  </w:t>
      </w:r>
    </w:p>
    <w:p w14:paraId="428E3394">
      <w:pPr>
        <w:ind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道德经》作为轴心时代的文明结晶，其思想体系具有三重现代价值：在生态层面为可持续发展提供哲学根基，在政治层面为治理现代化注入传统智慧，在个体层面为意义重构开辟精神空间。研究同时发现，对"小国寡民"等争议表述需进行创造性转化，避免陷入文化复古主义误区。在文明互鉴的当代语境下，老子思想正以其独特的东方智慧，参与构建人类新文明形态。</w:t>
      </w:r>
    </w:p>
    <w:p w14:paraId="5A884E62">
      <w:pPr>
        <w:rPr>
          <w:rFonts w:hint="eastAsia"/>
        </w:rPr>
      </w:pPr>
    </w:p>
    <w:p w14:paraId="2B230F24">
      <w:pPr>
        <w:spacing w:line="360" w:lineRule="auto"/>
        <w:ind w:left="0" w:leftChars="0" w:firstLine="420" w:firstLineChars="0"/>
        <w:jc w:val="left"/>
        <w:rPr>
          <w:rFonts w:hint="eastAsia" w:ascii="黑体" w:hAnsi="黑体" w:eastAsia="黑体" w:cs="黑体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shd w:val="clear" w:color="auto" w:fill="FFFFFF"/>
        </w:rPr>
        <w:t xml:space="preserve">参考文献 </w:t>
      </w:r>
      <w:r>
        <w:rPr>
          <w:rFonts w:hint="eastAsia" w:ascii="黑体" w:hAnsi="黑体" w:eastAsia="黑体" w:cs="黑体"/>
          <w:sz w:val="24"/>
          <w:shd w:val="clear" w:color="auto" w:fill="FFFFFF"/>
        </w:rPr>
        <w:t xml:space="preserve"> </w:t>
      </w:r>
    </w:p>
    <w:p w14:paraId="17BB591D">
      <w:pPr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 xml:space="preserve">[1] 陈鼓应. 老子注译及评介[M]. 北京: 中华书局, 2016.  </w:t>
      </w:r>
    </w:p>
    <w:p w14:paraId="0075897A">
      <w:pPr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 xml:space="preserve">[2] 王弼注, 楼宇烈校释. 老子道德经注校释[M]. 北京: 中华书局, 2008.  </w:t>
      </w:r>
    </w:p>
    <w:p w14:paraId="655B5036">
      <w:pPr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 xml:space="preserve">[3] 刘笑敢. 老子古今[M]. 北京: 中国社会科学出版社, 2006.  </w:t>
      </w:r>
    </w:p>
    <w:p w14:paraId="70BCFC4E">
      <w:pPr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 xml:space="preserve">[4] 安乐哲. 自我的圆成:中西互镜下的古典儒学与道家[M]. 石家庄: 河北人民出版社, 2006.  </w:t>
      </w:r>
    </w:p>
    <w:p w14:paraId="2FFB0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0" w:afterAutospacing="0"/>
        <w:ind w:left="0" w:right="0" w:firstLine="0"/>
        <w:jc w:val="left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[5] 《道德经》德育思想的当代价值[J].冯文全;陈一帆,中学政治教学参考.2019,第12期</w:t>
      </w:r>
      <w:r>
        <w:rPr>
          <w:rFonts w:hint="eastAsia" w:ascii="楷体" w:hAnsi="楷体" w:eastAsia="楷体" w:cs="楷体"/>
          <w:sz w:val="21"/>
          <w:szCs w:val="21"/>
        </w:rPr>
        <w:br w:type="textWrapping"/>
      </w:r>
      <w:r>
        <w:rPr>
          <w:rFonts w:hint="eastAsia" w:ascii="楷体" w:hAnsi="楷体" w:eastAsia="楷体" w:cs="楷体"/>
          <w:sz w:val="21"/>
          <w:szCs w:val="21"/>
        </w:rPr>
        <w:t>[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6</w:t>
      </w:r>
      <w:r>
        <w:rPr>
          <w:rFonts w:hint="eastAsia" w:ascii="楷体" w:hAnsi="楷体" w:eastAsia="楷体" w:cs="楷体"/>
          <w:sz w:val="21"/>
          <w:szCs w:val="21"/>
        </w:rPr>
        <w:t>]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instrText xml:space="preserve"> HYPERLINK "javascript:goDetail('/academic-journal-cn_detail_thesis/02012102791349.html','02012102791349',2)" </w:instrTex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fldChar w:fldCharType="separate"/>
      </w:r>
      <w:r>
        <w:rPr>
          <w:rFonts w:hint="eastAsia" w:ascii="楷体" w:hAnsi="楷体" w:eastAsia="楷体" w:cs="楷体"/>
          <w:sz w:val="21"/>
          <w:szCs w:val="21"/>
        </w:rPr>
        <w:t>《道德经》与人生“三观”</w:t>
      </w: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fldChar w:fldCharType="end"/>
      </w:r>
      <w:r>
        <w:rPr>
          <w:rFonts w:hint="eastAsia" w:ascii="楷体" w:hAnsi="楷体" w:eastAsia="楷体" w:cs="楷体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sz w:val="21"/>
          <w:szCs w:val="21"/>
        </w:rPr>
        <w:instrText xml:space="preserve"> HYPERLINK "https://www.zhangqiaokeyan.com/search.html?doctypes=1_2_3_4_5_6_7_1-0_9_4-0&amp;sertext=%E5%AD%99%E7%9D%BF&amp;option=202" </w:instrText>
      </w:r>
      <w:r>
        <w:rPr>
          <w:rFonts w:hint="eastAsia" w:ascii="楷体" w:hAnsi="楷体" w:eastAsia="楷体" w:cs="楷体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sz w:val="21"/>
          <w:szCs w:val="21"/>
        </w:rPr>
        <w:t>孙睿</w:t>
      </w:r>
      <w:r>
        <w:rPr>
          <w:rFonts w:hint="eastAsia" w:ascii="楷体" w:hAnsi="楷体" w:eastAsia="楷体" w:cs="楷体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sz w:val="21"/>
          <w:szCs w:val="21"/>
        </w:rPr>
        <w:t>；</w:t>
      </w:r>
      <w:r>
        <w:rPr>
          <w:rFonts w:hint="eastAsia" w:ascii="楷体" w:hAnsi="楷体" w:eastAsia="楷体" w:cs="楷体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sz w:val="21"/>
          <w:szCs w:val="21"/>
        </w:rPr>
        <w:instrText xml:space="preserve"> HYPERLINK "https://www.zhangqiaokeyan.com/search.html?doctypes=1_2_3_4_5_6_7_1-0_9_4-0&amp;sertext=%E4%BA%8E%E8%90%A5&amp;option=202" </w:instrText>
      </w:r>
      <w:r>
        <w:rPr>
          <w:rFonts w:hint="eastAsia" w:ascii="楷体" w:hAnsi="楷体" w:eastAsia="楷体" w:cs="楷体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sz w:val="21"/>
          <w:szCs w:val="21"/>
        </w:rPr>
        <w:t>于营</w:t>
      </w:r>
      <w:r>
        <w:rPr>
          <w:rFonts w:hint="eastAsia" w:ascii="楷体" w:hAnsi="楷体" w:eastAsia="楷体" w:cs="楷体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sz w:val="21"/>
          <w:szCs w:val="21"/>
        </w:rPr>
        <w:fldChar w:fldCharType="begin"/>
      </w:r>
      <w:r>
        <w:rPr>
          <w:rFonts w:hint="eastAsia" w:ascii="楷体" w:hAnsi="楷体" w:eastAsia="楷体" w:cs="楷体"/>
          <w:sz w:val="21"/>
          <w:szCs w:val="21"/>
        </w:rPr>
        <w:instrText xml:space="preserve"> HYPERLINK "https://www.zhangqiaokeyan.com/journal-cn-57437/" </w:instrText>
      </w:r>
      <w:r>
        <w:rPr>
          <w:rFonts w:hint="eastAsia" w:ascii="楷体" w:hAnsi="楷体" w:eastAsia="楷体" w:cs="楷体"/>
          <w:sz w:val="21"/>
          <w:szCs w:val="21"/>
        </w:rPr>
        <w:fldChar w:fldCharType="separate"/>
      </w:r>
      <w:r>
        <w:rPr>
          <w:rFonts w:hint="eastAsia" w:ascii="楷体" w:hAnsi="楷体" w:eastAsia="楷体" w:cs="楷体"/>
          <w:sz w:val="21"/>
          <w:szCs w:val="21"/>
        </w:rPr>
        <w:t>《中学政治教学参考》</w:t>
      </w:r>
      <w:r>
        <w:rPr>
          <w:rFonts w:hint="eastAsia" w:ascii="楷体" w:hAnsi="楷体" w:eastAsia="楷体" w:cs="楷体"/>
          <w:sz w:val="21"/>
          <w:szCs w:val="21"/>
        </w:rPr>
        <w:fldChar w:fldCharType="end"/>
      </w:r>
      <w:r>
        <w:rPr>
          <w:rFonts w:hint="eastAsia" w:ascii="楷体" w:hAnsi="楷体" w:eastAsia="楷体" w:cs="楷体"/>
          <w:sz w:val="21"/>
          <w:szCs w:val="21"/>
        </w:rPr>
        <w:t> | 2022年第44期</w:t>
      </w:r>
    </w:p>
    <w:p w14:paraId="02B3D9D5">
      <w:pPr>
        <w:rPr>
          <w:rFonts w:hint="eastAsia"/>
        </w:rPr>
      </w:pPr>
    </w:p>
    <w:p w14:paraId="389CE9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6E5F7B"/>
    <w:multiLevelType w:val="singleLevel"/>
    <w:tmpl w:val="5F6E5F7B"/>
    <w:lvl w:ilvl="0" w:tentative="0">
      <w:start w:val="1"/>
      <w:numFmt w:val="chineseCounting"/>
      <w:suff w:val="nothing"/>
      <w:lvlText w:val="%1、"/>
      <w:lvlJc w:val="left"/>
      <w:pPr>
        <w:ind w:left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C7E7A"/>
    <w:rsid w:val="032C7E7A"/>
    <w:rsid w:val="0A922065"/>
    <w:rsid w:val="60CE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2025-05-14T05:57:00Z</dcterms:created>
  <dc:creator>Vivian</dc:creator>
  <cp:lastModifiedBy>Vivian</cp:lastModifiedBy>
  <dcterms:modified xsi:type="dcterms:W3CDTF">2025-05-14T06:54:24Z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6F1C3686C8D844B3A1D5B3E306D24968_11</vt:lpwstr>
  </property>
  <property fmtid="{D5CDD505-2E9C-101B-9397-08002B2CF9AE}" pid="4" name="KSOTemplateDocerSaveRecord">
    <vt:lpwstr>eyJoZGlkIjoiNTk5MGY1Yzk3MWYzNzYyMGRkOTA0OGFjYTVlYTMwMDAiLCJ1c2VySWQiOiIyODExNTQ4MzgifQ==</vt:lpwstr>
  </property>
</Properties>
</file>