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亿图软件使用教程：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"http://www.edrawsoft.cn/guide/"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"/>
          <w:rFonts w:hint="eastAsia"/>
          <w:lang w:val="en-US" w:eastAsia="zh-CN"/>
        </w:rPr>
        <w:t>http://www.edrawsoft.cn/guide/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亿图绘图基础教程：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"http://www.edrawsoft.cn/edraw-guide/"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"/>
          <w:rFonts w:hint="eastAsia"/>
          <w:lang w:val="en-US" w:eastAsia="zh-CN"/>
        </w:rPr>
        <w:t>http://www.edrawsoft.cn/edraw-guide/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画图基本步骤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：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1.可选择使用模板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828290"/>
            <wp:effectExtent l="0" t="0" r="5715" b="6350"/>
            <wp:docPr id="1" name="图片 1" descr="153924063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39240633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2.创建成功后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在左侧符号库可选择自己需要的库开始绘图</w:t>
      </w:r>
    </w:p>
    <w:p>
      <w:r>
        <w:drawing>
          <wp:inline distT="0" distB="0" distL="114300" distR="114300">
            <wp:extent cx="2635250" cy="4340860"/>
            <wp:effectExtent l="0" t="0" r="127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4340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直接拖动图案即可画图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599180"/>
            <wp:effectExtent l="0" t="0" r="1270" b="12700"/>
            <wp:docPr id="6" name="图片 6" descr="153924126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539241262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选中图案可在下方或者上方更改颜色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599180"/>
            <wp:effectExtent l="0" t="0" r="5080" b="12700"/>
            <wp:docPr id="7" name="图片 7" descr="153924144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539241442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双击图案可修改文字，也可选择上方文本进行编辑</w:t>
      </w:r>
    </w:p>
    <w:p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99180"/>
            <wp:effectExtent l="0" t="0" r="5080" b="12700"/>
            <wp:docPr id="9" name="图片 9" descr="153924173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539241736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选择连接线可连接图案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599180"/>
            <wp:effectExtent l="0" t="0" r="5080" b="12700"/>
            <wp:docPr id="11" name="图片 11" descr="153924189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39241890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选中连线右键→设置形状格式，可更改线条格式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3150235"/>
            <wp:effectExtent l="0" t="0" r="5715" b="4445"/>
            <wp:docPr id="12" name="图片 12" descr="153924243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539242435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738CCC"/>
    <w:multiLevelType w:val="singleLevel"/>
    <w:tmpl w:val="AF738CC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78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郭</dc:creator>
  <cp:lastModifiedBy>Z</cp:lastModifiedBy>
  <dcterms:modified xsi:type="dcterms:W3CDTF">2018-10-11T07:25:12Z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