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5A6D5">
      <w:pPr>
        <w:jc w:val="center"/>
        <w:rPr>
          <w:rFonts w:hint="eastAsia" w:ascii="宋体" w:hAnsi="宋体" w:cs="Times New Roman"/>
          <w:bCs/>
          <w:sz w:val="24"/>
        </w:rPr>
      </w:pPr>
      <w:r>
        <w:rPr>
          <w:rFonts w:hint="eastAsia" w:ascii="黑体" w:hAnsi="宋体" w:eastAsia="黑体" w:cs="Times New Roman"/>
          <w:bCs/>
          <w:sz w:val="28"/>
          <w:szCs w:val="28"/>
        </w:rPr>
        <w:t>优化生态，激发活力：</w:t>
      </w:r>
      <w:r>
        <w:rPr>
          <w:rFonts w:hint="eastAsia" w:ascii="黑体" w:hAnsi="宋体" w:eastAsia="黑体" w:cs="Times New Roman"/>
          <w:bCs/>
          <w:sz w:val="28"/>
          <w:szCs w:val="28"/>
        </w:rPr>
        <w:br w:type="textWrapping"/>
      </w:r>
      <w:r>
        <w:rPr>
          <w:rFonts w:hint="eastAsia" w:ascii="黑体" w:hAnsi="宋体" w:eastAsia="黑体" w:cs="Times New Roman"/>
          <w:bCs/>
          <w:sz w:val="28"/>
          <w:szCs w:val="28"/>
          <w:lang w:eastAsia="zh-CN"/>
        </w:rPr>
        <w:t>——</w:t>
      </w:r>
      <w:r>
        <w:rPr>
          <w:rFonts w:hint="eastAsia" w:ascii="宋体" w:hAnsi="宋体" w:cs="Times New Roman"/>
          <w:bCs/>
          <w:sz w:val="24"/>
        </w:rPr>
        <w:t>新时代促进民营经济健康发展的实践路径探析​​</w:t>
      </w:r>
    </w:p>
    <w:p w14:paraId="79FDA913">
      <w:pPr>
        <w:rPr>
          <w:rFonts w:hint="eastAsia"/>
        </w:rPr>
      </w:pPr>
    </w:p>
    <w:p w14:paraId="0036E2EE">
      <w:pPr>
        <w:rPr>
          <w:rFonts w:hint="eastAsia" w:ascii="楷体" w:hAnsi="楷体" w:eastAsia="楷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/>
        </w:rPr>
        <w:t>​</w:t>
      </w:r>
      <w:r>
        <w:rPr>
          <w:rFonts w:hint="eastAsia" w:ascii="黑体" w:hAnsi="黑体" w:eastAsia="黑体" w:cs="Times New Roman"/>
          <w:kern w:val="2"/>
          <w:sz w:val="21"/>
          <w:szCs w:val="21"/>
          <w:lang w:val="en-US" w:eastAsia="zh-CN" w:bidi="ar-SA"/>
        </w:rPr>
        <w:t>​摘  要：</w:t>
      </w:r>
      <w:r>
        <w:rPr>
          <w:rFonts w:hint="eastAsia" w:ascii="楷体" w:hAnsi="楷体" w:eastAsia="楷体" w:cs="Times New Roman"/>
          <w:kern w:val="2"/>
          <w:sz w:val="21"/>
          <w:szCs w:val="21"/>
          <w:lang w:val="en-US" w:eastAsia="zh-CN" w:bidi="ar-SA"/>
        </w:rPr>
        <w:t>2025年2月17日，习近平总书记于民营企业座谈会上的重要讲话，再次为民营经济发展注入强大信心与动能。本文基于讲话精神，聚焦“健康发展”的核心内涵，结合当前民营经济面临的现实关切，探索优化营商环境、赋能企业内生成长、激发创新活力等关键实践路径，旨在为激活民营经济潜能、服务中国式现代化提供实践参考。</w:t>
      </w:r>
    </w:p>
    <w:p w14:paraId="105B1CB8">
      <w:pPr>
        <w:ind w:left="0" w:leftChars="0" w:firstLine="0" w:firstLineChars="0"/>
        <w:rPr>
          <w:rFonts w:hint="eastAsia"/>
        </w:rPr>
      </w:pPr>
    </w:p>
    <w:p w14:paraId="5A53FD72">
      <w:pPr>
        <w:spacing w:line="360" w:lineRule="auto"/>
        <w:ind w:left="0" w:leftChars="0" w:firstLine="480" w:firstLineChars="200"/>
        <w:rPr>
          <w:rFonts w:hint="eastAsia" w:ascii="黑体" w:hAnsi="宋体" w:eastAsia="黑体" w:cs="Times New Roman"/>
          <w:bCs/>
          <w:sz w:val="24"/>
        </w:rPr>
      </w:pPr>
      <w:r>
        <w:rPr>
          <w:rFonts w:hint="eastAsia" w:ascii="黑体" w:hAnsi="宋体" w:eastAsia="黑体" w:cs="Times New Roman"/>
          <w:bCs/>
          <w:sz w:val="24"/>
        </w:rPr>
        <w:t>​​</w:t>
      </w:r>
      <w:r>
        <w:rPr>
          <w:rFonts w:hint="eastAsia" w:ascii="黑体" w:hAnsi="宋体" w:eastAsia="黑体" w:cs="Times New Roman"/>
          <w:bCs/>
          <w:sz w:val="24"/>
          <w:lang w:val="en-US" w:eastAsia="zh-CN"/>
        </w:rPr>
        <w:t>一、</w:t>
      </w:r>
      <w:r>
        <w:rPr>
          <w:rFonts w:hint="eastAsia" w:ascii="黑体" w:hAnsi="宋体" w:eastAsia="黑体" w:cs="Times New Roman"/>
          <w:bCs/>
          <w:sz w:val="24"/>
        </w:rPr>
        <w:t>调研方法</w:t>
      </w:r>
      <w:r>
        <w:rPr>
          <w:rFonts w:hint="eastAsia" w:ascii="黑体" w:hAnsi="宋体" w:eastAsia="黑体" w:cs="Times New Roman"/>
          <w:bCs/>
          <w:sz w:val="24"/>
          <w:lang w:val="en-US" w:eastAsia="zh-CN"/>
        </w:rPr>
        <w:t>与结论</w:t>
      </w:r>
    </w:p>
    <w:p w14:paraId="3C5699A9">
      <w:pPr>
        <w:spacing w:line="360" w:lineRule="auto"/>
        <w:ind w:left="0" w:leftChars="0" w:firstLine="420" w:firstLineChars="20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采用结构化问卷对大学生样本进行深度调研，覆盖工科（30%）、文科（20%）、商科（20%）、理科（20%）、医科（10%）等专业，包含大一至研究生各年级。问卷聚焦政策认知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rFonts w:hint="eastAsia"/>
          <w:sz w:val="21"/>
          <w:szCs w:val="21"/>
        </w:rPr>
        <w:t>就业选择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rFonts w:hint="eastAsia"/>
          <w:sz w:val="21"/>
          <w:szCs w:val="21"/>
        </w:rPr>
        <w:t>创业生态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rFonts w:hint="eastAsia"/>
          <w:sz w:val="21"/>
          <w:szCs w:val="21"/>
        </w:rPr>
        <w:t>现实痛点四大维度</w:t>
      </w:r>
      <w:r>
        <w:rPr>
          <w:rFonts w:hint="eastAsia"/>
          <w:sz w:val="21"/>
          <w:szCs w:val="21"/>
          <w:lang w:eastAsia="zh-CN"/>
        </w:rPr>
        <w:t>。</w:t>
      </w:r>
    </w:p>
    <w:p w14:paraId="691A5508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调研发现大学生群体对民营经济呈现“高度期待与谨慎选择并存”的特征：</w:t>
      </w:r>
    </w:p>
    <w:p w14:paraId="3D70E186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政策感知较弱但认同度高：50%学生仅“偶尔看到”政策，但80%认同“先富带动后富”，体现对民企社会价值的认可；</w:t>
      </w:r>
    </w:p>
    <w:p w14:paraId="4C14FB50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就业倾向务实化：70%愿考虑民企就业，但高年级生（大四/研究生）更看重“发展空间”（占比60%），低年级生担忧“福利保障”（大一/大二占比80%）；</w:t>
      </w:r>
    </w:p>
    <w:p w14:paraId="3EB2B5B7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创业需求与支持错位：60%有创业意愿（首选数字经济/科技创新），但60%评价创业教育“不满足需求”，亟需“导师帮扶”（70%）和“免费场地”（60%）；</w:t>
      </w:r>
    </w:p>
    <w:p w14:paraId="0191FBE6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政策诉求聚焦公平保：80%呼吁“简化审批”，70%要求“严打就业歧视”，反映对透明、公平发展环境的迫切需求。</w:t>
      </w:r>
    </w:p>
    <w:p w14:paraId="6367AD9A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 w:ascii="黑体" w:hAnsi="宋体" w:eastAsia="黑体" w:cs="Times New Roman"/>
          <w:bCs/>
          <w:sz w:val="24"/>
          <w:lang w:val="en-US" w:eastAsia="zh-CN"/>
        </w:rPr>
        <w:t>二</w:t>
      </w:r>
      <w:r>
        <w:rPr>
          <w:rFonts w:hint="eastAsia" w:ascii="黑体" w:hAnsi="宋体" w:eastAsia="黑体" w:cs="Times New Roman"/>
          <w:bCs/>
          <w:sz w:val="24"/>
        </w:rPr>
        <w:t>、“健康发展”的内涵解析与实践痛点​​</w:t>
      </w:r>
    </w:p>
    <w:p w14:paraId="6BF73A39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理解“健康发展”，关键在于把握其丰富多维的内涵，</w:t>
      </w:r>
      <w:r>
        <w:rPr>
          <w:rFonts w:hint="eastAsia"/>
          <w:sz w:val="21"/>
          <w:szCs w:val="21"/>
        </w:rPr>
        <w:t>制度保障的稳定性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>依赖于中国特色社会主义基本经济制度的坚实根基和清晰定位，保障公平参与市场竞争的权利。</w:t>
      </w:r>
      <w:r>
        <w:rPr>
          <w:rFonts w:hint="eastAsia"/>
          <w:sz w:val="21"/>
          <w:szCs w:val="21"/>
          <w:lang w:eastAsia="zh-CN"/>
        </w:rPr>
        <w:t>企业运行的稳健性体现在：经营合规（守法善经营）、财务稳健、管理高效及风险控制得当。</w:t>
      </w:r>
      <w:r>
        <w:rPr>
          <w:rFonts w:hint="eastAsia"/>
          <w:sz w:val="21"/>
          <w:szCs w:val="21"/>
        </w:rPr>
        <w:t>​</w:t>
      </w:r>
    </w:p>
    <w:p w14:paraId="50EE37B6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创新驱动的成长性意味着，企业应加大研发投入，掌握核心技术，进而提升核心竞争力，实现由要素驱动向创新驱动的根本转型。</w:t>
      </w:r>
      <w:r>
        <w:rPr>
          <w:rFonts w:hint="eastAsia"/>
          <w:sz w:val="21"/>
          <w:szCs w:val="21"/>
        </w:rPr>
        <w:t>社会价值的共生性：要求企业在追求经济效益的同时，履行社会责任（先富促共富），促进就业，保护境，实现与社会、环境的和谐共生。然而，实践中仍面临诸多挑战，阻碍健康发展：</w:t>
      </w:r>
    </w:p>
    <w:p w14:paraId="0E6C16FC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政策感知落差问题显著：中央政策虽坚定明确，但部分地方或领域在执行时却出现理解偏差、配套细则滞后及部门协调不畅等现象，严重阻碍了政策红利的充分释放及企业稳定预期的形成。</w:t>
      </w:r>
    </w:p>
    <w:p w14:paraId="3C1F0C59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某些行业和领域仍存在或明或暗的市场准入障碍、审批许可复杂</w:t>
      </w:r>
      <w:r>
        <w:rPr>
          <w:rFonts w:hint="eastAsia"/>
          <w:sz w:val="21"/>
          <w:szCs w:val="21"/>
          <w:lang w:eastAsia="zh-CN"/>
        </w:rPr>
        <w:t>，以及</w:t>
      </w:r>
      <w:r>
        <w:rPr>
          <w:rFonts w:hint="eastAsia"/>
          <w:sz w:val="21"/>
          <w:szCs w:val="21"/>
        </w:rPr>
        <w:t>融资成本高、人才引进难等老问题，导致企业经营负担加重、竞争力削弱。</w:t>
      </w:r>
    </w:p>
    <w:p w14:paraId="7A19B92F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创新活力激发不足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面对严格的合规要求和复杂的市场环境，</w:t>
      </w:r>
      <w:r>
        <w:rPr>
          <w:rFonts w:hint="eastAsia"/>
          <w:sz w:val="21"/>
          <w:szCs w:val="21"/>
          <w:lang w:eastAsia="zh-CN"/>
        </w:rPr>
        <w:t>部分企业呈现出规避风险、畏惧创新的态势</w:t>
      </w:r>
      <w:r>
        <w:rPr>
          <w:rFonts w:hint="eastAsia"/>
          <w:sz w:val="21"/>
          <w:szCs w:val="21"/>
        </w:rPr>
        <w:t>，创新风险分担机制和包容试错环境尚待完善。</w:t>
      </w:r>
    </w:p>
    <w:p w14:paraId="0CE763F2">
      <w:pPr>
        <w:spacing w:line="360" w:lineRule="auto"/>
        <w:ind w:left="0" w:leftChars="0"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高质量发展能力短板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部分企业尤其是中小微企业，在核心技术积累、品牌塑造、绿色转型投入、现代治理结构建设等方面存在明显不足。</w:t>
      </w:r>
    </w:p>
    <w:p w14:paraId="089F0FEF">
      <w:pPr>
        <w:spacing w:line="360" w:lineRule="auto"/>
        <w:ind w:left="0" w:leftChars="0" w:firstLine="480" w:firstLineChars="200"/>
        <w:rPr>
          <w:rFonts w:hint="eastAsia" w:ascii="黑体" w:hAnsi="宋体" w:eastAsia="黑体" w:cs="Times New Roman"/>
          <w:bCs/>
          <w:sz w:val="24"/>
          <w:lang w:val="en-US" w:eastAsia="zh-CN"/>
        </w:rPr>
      </w:pPr>
      <w:r>
        <w:rPr>
          <w:rFonts w:hint="eastAsia" w:ascii="黑体" w:hAnsi="宋体" w:eastAsia="黑体" w:cs="Times New Roman"/>
          <w:bCs/>
          <w:sz w:val="24"/>
          <w:lang w:val="en-US" w:eastAsia="zh-CN"/>
        </w:rPr>
        <w:t>​​三、促进民营经济健康发展的关键实践路径</w:t>
      </w:r>
    </w:p>
    <w:p w14:paraId="26856029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为应对上述痛点，需系统构建赋能民营经济健康发展的实践体系：</w:t>
      </w:r>
    </w:p>
    <w:p w14:paraId="2BBE3108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​</w:t>
      </w:r>
      <w:r>
        <w:rPr>
          <w:rFonts w:hint="default"/>
          <w:sz w:val="21"/>
          <w:szCs w:val="21"/>
          <w:lang w:eastAsia="zh-CN"/>
        </w:rPr>
        <w:t>​</w:t>
      </w: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default"/>
          <w:sz w:val="21"/>
          <w:szCs w:val="21"/>
          <w:lang w:eastAsia="zh-CN"/>
        </w:rPr>
        <w:t>优化营商环境，筑牢稳定基石：​​</w:t>
      </w:r>
    </w:p>
    <w:p w14:paraId="546CBB1F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提升政策透明与刚性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default"/>
          <w:sz w:val="21"/>
          <w:szCs w:val="21"/>
          <w:lang w:eastAsia="zh-CN"/>
        </w:rPr>
        <w:t>建立统一发布、解读与评估机制，确保政策落地不走样。推广“企业家参与政策制定反馈机制”。深化落实市场准入负面清单，重点清理能源、通信、招投标等领域隐性壁垒。强化反垄断与公平竞争审查。推广“一站式”审批。利用“亲清在线”等平台，实现政策推送、诉求响应、问题督办、效果评价的数字化高效通达。</w:t>
      </w:r>
    </w:p>
    <w:p w14:paraId="65D04AC8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​​</w:t>
      </w:r>
      <w:r>
        <w:rPr>
          <w:rFonts w:hint="eastAsia"/>
          <w:sz w:val="21"/>
          <w:szCs w:val="21"/>
          <w:lang w:val="en-US" w:eastAsia="zh-CN"/>
        </w:rPr>
        <w:t>2。</w:t>
      </w:r>
      <w:r>
        <w:rPr>
          <w:rFonts w:hint="default"/>
          <w:sz w:val="21"/>
          <w:szCs w:val="21"/>
          <w:lang w:eastAsia="zh-CN"/>
        </w:rPr>
        <w:t>强化要素赋能，激活内生动力：​​</w:t>
      </w:r>
    </w:p>
    <w:p w14:paraId="27B39A3A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畅通金融血脉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default"/>
          <w:sz w:val="21"/>
          <w:szCs w:val="21"/>
          <w:lang w:eastAsia="zh-CN"/>
        </w:rPr>
        <w:t>发展多层次资本市场，重点支持科技型企运用知识产权质押、供应链金融等工具。探索地方性专项基金。落实开放人才政策。加强产学研融合，鼓励构建大企业引领的产学研联合体(如宁德时代模式)。加大民企基础研发税费优惠与补贴。提供普惠性、低成本数字化诊断与改造方案。完善绿色标准与支持体系，引导绿色低碳转型。</w:t>
      </w:r>
    </w:p>
    <w:p w14:paraId="0FFD5E03">
      <w:pPr>
        <w:spacing w:line="360" w:lineRule="auto"/>
        <w:ind w:left="0" w:leftChars="0" w:firstLine="420" w:firstLineChars="200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​​</w:t>
      </w:r>
      <w:r>
        <w:rPr>
          <w:rFonts w:hint="eastAsia"/>
          <w:sz w:val="21"/>
          <w:szCs w:val="21"/>
          <w:lang w:val="en-US" w:eastAsia="zh-CN"/>
        </w:rPr>
        <w:t>3.</w:t>
      </w:r>
      <w:r>
        <w:rPr>
          <w:rFonts w:hint="default"/>
          <w:sz w:val="21"/>
          <w:szCs w:val="21"/>
          <w:lang w:eastAsia="zh-CN"/>
        </w:rPr>
        <w:t>激发创新活力，建设包容生态：</w:t>
      </w:r>
    </w:p>
    <w:p w14:paraId="65981277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对新业态新模式包容审慎监管，探索特定区域/领域“监管沙盒”机制，提供安全试错空间。 宣传表彰优秀企业家典型，营造尊重氛围。完善社会信用体系，形成守信激励、失信惩戒机制。 鼓励参与乡村振兴/区域协调(如万达丹寨扶贫、新希望“绿领计划”)。加大合规公益慈善支出的税费激励。</w:t>
      </w:r>
    </w:p>
    <w:p w14:paraId="6ED9B4DA">
      <w:pPr>
        <w:spacing w:line="360" w:lineRule="auto"/>
        <w:ind w:left="0" w:leftChars="0" w:firstLine="480" w:firstLineChars="200"/>
        <w:rPr>
          <w:rFonts w:hint="eastAsia" w:ascii="黑体" w:hAnsi="宋体" w:eastAsia="黑体" w:cs="Times New Roman"/>
          <w:bCs/>
          <w:sz w:val="24"/>
          <w:lang w:val="en-US" w:eastAsia="zh-CN"/>
        </w:rPr>
      </w:pPr>
      <w:r>
        <w:rPr>
          <w:rFonts w:hint="eastAsia" w:ascii="黑体" w:hAnsi="宋体" w:eastAsia="黑体" w:cs="Times New Roman"/>
          <w:bCs/>
          <w:sz w:val="24"/>
          <w:lang w:val="en-US" w:eastAsia="zh-CN"/>
        </w:rPr>
        <w:t>​​四、坚实法治保障，护航行稳致远</w:t>
      </w:r>
    </w:p>
    <w:p w14:paraId="1829E7F6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法治是最好的营商环境，也是企业健康发展的根本保障。</w:t>
      </w:r>
      <w:r>
        <w:rPr>
          <w:rFonts w:hint="eastAsia"/>
          <w:sz w:val="21"/>
          <w:szCs w:val="21"/>
          <w:lang w:val="en-US" w:eastAsia="zh-CN"/>
        </w:rPr>
        <w:t>应该</w:t>
      </w:r>
      <w:r>
        <w:rPr>
          <w:rFonts w:hint="eastAsia"/>
          <w:sz w:val="21"/>
          <w:szCs w:val="21"/>
          <w:lang w:eastAsia="zh-CN"/>
        </w:rPr>
        <w:t>严格执行保护产权的法律法规，完善涉及经济犯罪案件处置程序，确保各类市场主体产权和企业家合法权益不受侵犯。依法纠正涉产权冤错案件（如</w:t>
      </w:r>
      <w:r>
        <w:rPr>
          <w:rFonts w:hint="eastAsia"/>
          <w:sz w:val="21"/>
          <w:szCs w:val="21"/>
          <w:lang w:eastAsia="zh-CN"/>
        </w:rPr>
        <w:t>最高人民法院巡回法庭的实践），切实增强企业家的安全感和稳定预期。</w:t>
      </w:r>
    </w:p>
    <w:p w14:paraId="7D063414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规范市场秩序与执法司法</w:t>
      </w:r>
      <w:r>
        <w:rPr>
          <w:rFonts w:hint="eastAsia"/>
          <w:sz w:val="21"/>
          <w:szCs w:val="21"/>
          <w:lang w:eastAsia="zh-CN"/>
        </w:rPr>
        <w:t>，持续推进反不正当竞争，打击侵权假冒，维护公平交易。提升执法司法透明度和规范性，</w:t>
      </w:r>
      <w:r>
        <w:rPr>
          <w:rFonts w:hint="eastAsia"/>
          <w:sz w:val="21"/>
          <w:szCs w:val="21"/>
          <w:lang w:eastAsia="zh-CN"/>
        </w:rPr>
        <w:t>确保对各类企业一视同仁，公正无私地执行法律</w:t>
      </w:r>
      <w:r>
        <w:rPr>
          <w:rFonts w:hint="eastAsia"/>
          <w:sz w:val="21"/>
          <w:szCs w:val="21"/>
          <w:lang w:val="en-US" w:eastAsia="zh-CN"/>
        </w:rPr>
        <w:t>与政策。</w:t>
      </w:r>
    </w:p>
    <w:p w14:paraId="013D5BC1">
      <w:pPr>
        <w:spacing w:line="360" w:lineRule="auto"/>
        <w:ind w:left="0" w:leftChars="0" w:firstLine="480" w:firstLineChars="200"/>
        <w:rPr>
          <w:rFonts w:hint="eastAsia" w:ascii="黑体" w:hAnsi="宋体" w:eastAsia="黑体" w:cs="Times New Roman"/>
          <w:bCs/>
          <w:sz w:val="24"/>
          <w:lang w:val="en-US" w:eastAsia="zh-CN"/>
        </w:rPr>
      </w:pPr>
      <w:r>
        <w:rPr>
          <w:rFonts w:hint="eastAsia" w:ascii="黑体" w:hAnsi="宋体" w:eastAsia="黑体" w:cs="Times New Roman"/>
          <w:bCs/>
          <w:sz w:val="24"/>
          <w:lang w:val="en-US" w:eastAsia="zh-CN"/>
        </w:rPr>
        <w:t>​​五、结语​​</w:t>
      </w:r>
    </w:p>
    <w:p w14:paraId="5E16B205">
      <w:pPr>
        <w:spacing w:line="360" w:lineRule="auto"/>
        <w:ind w:left="0" w:leftChars="0" w:firstLine="420" w:firstLineChars="200"/>
        <w:rPr>
          <w:rFonts w:hint="eastAsia"/>
          <w:sz w:val="21"/>
          <w:szCs w:val="21"/>
          <w:lang w:eastAsia="zh-CN"/>
        </w:rPr>
      </w:pPr>
      <w:bookmarkStart w:id="0" w:name="_GoBack"/>
      <w:r>
        <w:rPr>
          <w:rFonts w:hint="eastAsia"/>
          <w:sz w:val="21"/>
          <w:szCs w:val="21"/>
          <w:lang w:eastAsia="zh-CN"/>
        </w:rPr>
        <w:t>习近平总书记重要讲话为民营经济发展把舵定航。“不能变，也不会变”的承诺是优化环境的政治基石；“健康发展、高质量发展”是奋斗目标。通过优化营商环境生态圈、打通要素赋能高速路、激发创新主体活力、筑牢法治护航稳定器，必将极大释放民营经济活力。广大企业和企业家积极响应号召，守法善经营、先富促共富，定能在推进中国式现代化的伟大征程中铸就辉煌。一个制度保障更强、环境更优、企业更活、创新更涌的民营经济发展新格局正在形成，为中国经济持续发展注入强劲动能。</w:t>
      </w:r>
    </w:p>
    <w:bookmarkEnd w:id="0"/>
    <w:p w14:paraId="372CAB9E">
      <w:pPr>
        <w:spacing w:line="360" w:lineRule="auto"/>
        <w:ind w:firstLine="419" w:firstLineChars="0"/>
        <w:rPr>
          <w:rFonts w:hint="eastAsia"/>
          <w:sz w:val="21"/>
          <w:szCs w:val="21"/>
        </w:rPr>
      </w:pPr>
    </w:p>
    <w:p w14:paraId="3BBA0B82">
      <w:pPr>
        <w:pStyle w:val="4"/>
        <w:spacing w:line="360" w:lineRule="auto"/>
        <w:rPr>
          <w:rFonts w:hint="eastAsia" w:ascii="楷体" w:hAnsi="楷体" w:eastAsia="楷体"/>
          <w:color w:val="002060"/>
          <w:szCs w:val="21"/>
        </w:rPr>
      </w:pPr>
      <w:r>
        <w:rPr>
          <w:rFonts w:hint="eastAsia" w:ascii="黑体" w:hAnsi="黑体" w:eastAsia="黑体"/>
          <w:sz w:val="24"/>
        </w:rPr>
        <w:t>参考文献：</w:t>
      </w:r>
    </w:p>
    <w:p w14:paraId="76596FFC">
      <w:pPr>
        <w:pStyle w:val="4"/>
        <w:spacing w:line="360" w:lineRule="auto"/>
        <w:rPr>
          <w:rFonts w:hint="eastAsia"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[1]</w:t>
      </w:r>
      <w:r>
        <w:rPr>
          <w:rFonts w:hint="eastAsia" w:ascii="楷体" w:hAnsi="楷体" w:eastAsia="楷体"/>
          <w:szCs w:val="21"/>
          <w:lang w:val="en-US" w:eastAsia="zh-CN"/>
        </w:rPr>
        <w:t>[期刊]</w:t>
      </w:r>
      <w:r>
        <w:rPr>
          <w:rFonts w:hint="eastAsia" w:ascii="楷体" w:hAnsi="楷体" w:eastAsia="楷体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/>
          <w:szCs w:val="21"/>
          <w:lang w:val="en-US" w:eastAsia="zh-CN"/>
        </w:rPr>
        <w:instrText xml:space="preserve"> HYPERLINK "javascript:goDetail('/academic-journal-cn_contemporary-economic-management_thesis/02012154181405.html','02012154181405',2)" </w:instrText>
      </w:r>
      <w:r>
        <w:rPr>
          <w:rFonts w:hint="eastAsia" w:ascii="楷体" w:hAnsi="楷体" w:eastAsia="楷体"/>
          <w:szCs w:val="21"/>
          <w:lang w:val="en-US" w:eastAsia="zh-CN"/>
        </w:rPr>
        <w:fldChar w:fldCharType="separate"/>
      </w:r>
      <w:r>
        <w:rPr>
          <w:rFonts w:hint="eastAsia" w:ascii="楷体" w:hAnsi="楷体" w:eastAsia="楷体"/>
          <w:szCs w:val="21"/>
        </w:rPr>
        <w:t>推进民营经济健康发展高质量发展研究——以江苏为例</w:t>
      </w:r>
      <w:r>
        <w:rPr>
          <w:rFonts w:hint="eastAsia" w:ascii="楷体" w:hAnsi="楷体" w:eastAsia="楷体"/>
          <w:szCs w:val="21"/>
          <w:lang w:val="en-US" w:eastAsia="zh-CN"/>
        </w:rPr>
        <w:fldChar w:fldCharType="end"/>
      </w:r>
      <w:r>
        <w:rPr>
          <w:rFonts w:hint="eastAsia" w:ascii="楷体" w:hAnsi="楷体" w:eastAsia="楷体"/>
          <w:szCs w:val="21"/>
        </w:rPr>
        <w:fldChar w:fldCharType="begin"/>
      </w:r>
      <w:r>
        <w:rPr>
          <w:rFonts w:hint="eastAsia" w:ascii="楷体" w:hAnsi="楷体" w:eastAsia="楷体"/>
          <w:szCs w:val="21"/>
        </w:rPr>
        <w:instrText xml:space="preserve"> HYPERLINK "https://www.zhangqiaokeyan.com/search.html?doctypes=1_2_3_4_5_6_7_1-0_9_4-0&amp;sertext=%E7%9F%B3%E9%A2%96&amp;option=202" </w:instrText>
      </w:r>
      <w:r>
        <w:rPr>
          <w:rFonts w:hint="eastAsia" w:ascii="楷体" w:hAnsi="楷体" w:eastAsia="楷体"/>
          <w:szCs w:val="21"/>
        </w:rPr>
        <w:fldChar w:fldCharType="separate"/>
      </w:r>
      <w:r>
        <w:rPr>
          <w:rFonts w:hint="eastAsia" w:ascii="楷体" w:hAnsi="楷体" w:eastAsia="楷体"/>
          <w:szCs w:val="21"/>
        </w:rPr>
        <w:t>石颖</w:t>
      </w:r>
      <w:r>
        <w:rPr>
          <w:rFonts w:hint="eastAsia" w:ascii="楷体" w:hAnsi="楷体" w:eastAsia="楷体"/>
          <w:szCs w:val="21"/>
        </w:rPr>
        <w:fldChar w:fldCharType="end"/>
      </w:r>
      <w:r>
        <w:rPr>
          <w:rFonts w:hint="eastAsia" w:ascii="楷体" w:hAnsi="楷体" w:eastAsia="楷体"/>
          <w:szCs w:val="21"/>
        </w:rPr>
        <w:t>；</w:t>
      </w:r>
      <w:r>
        <w:rPr>
          <w:rFonts w:hint="eastAsia" w:ascii="楷体" w:hAnsi="楷体" w:eastAsia="楷体"/>
          <w:szCs w:val="21"/>
        </w:rPr>
        <w:fldChar w:fldCharType="begin"/>
      </w:r>
      <w:r>
        <w:rPr>
          <w:rFonts w:hint="eastAsia" w:ascii="楷体" w:hAnsi="楷体" w:eastAsia="楷体"/>
          <w:szCs w:val="21"/>
        </w:rPr>
        <w:instrText xml:space="preserve"> HYPERLINK "https://www.zhangqiaokeyan.com/search.html?doctypes=1_2_3_4_5_6_7_1-0_9_4-0&amp;sertext=%E5%BC%A0%E6%85%A7&amp;option=202" </w:instrText>
      </w:r>
      <w:r>
        <w:rPr>
          <w:rFonts w:hint="eastAsia" w:ascii="楷体" w:hAnsi="楷体" w:eastAsia="楷体"/>
          <w:szCs w:val="21"/>
        </w:rPr>
        <w:fldChar w:fldCharType="separate"/>
      </w:r>
      <w:r>
        <w:rPr>
          <w:rFonts w:hint="eastAsia" w:ascii="楷体" w:hAnsi="楷体" w:eastAsia="楷体"/>
          <w:szCs w:val="21"/>
        </w:rPr>
        <w:t>张慧</w:t>
      </w:r>
      <w:r>
        <w:rPr>
          <w:rFonts w:hint="eastAsia" w:ascii="楷体" w:hAnsi="楷体" w:eastAsia="楷体"/>
          <w:szCs w:val="21"/>
        </w:rPr>
        <w:fldChar w:fldCharType="end"/>
      </w:r>
      <w:r>
        <w:rPr>
          <w:rFonts w:hint="eastAsia" w:ascii="楷体" w:hAnsi="楷体" w:eastAsia="楷体"/>
          <w:szCs w:val="21"/>
        </w:rPr>
        <w:fldChar w:fldCharType="begin"/>
      </w:r>
      <w:r>
        <w:rPr>
          <w:rFonts w:hint="eastAsia" w:ascii="楷体" w:hAnsi="楷体" w:eastAsia="楷体"/>
          <w:szCs w:val="21"/>
        </w:rPr>
        <w:instrText xml:space="preserve"> HYPERLINK "https://www.zhangqiaokeyan.com/journal-cn-1583/" </w:instrText>
      </w:r>
      <w:r>
        <w:rPr>
          <w:rFonts w:hint="eastAsia" w:ascii="楷体" w:hAnsi="楷体" w:eastAsia="楷体"/>
          <w:szCs w:val="21"/>
        </w:rPr>
        <w:fldChar w:fldCharType="separate"/>
      </w:r>
      <w:r>
        <w:rPr>
          <w:rFonts w:hint="eastAsia" w:ascii="楷体" w:hAnsi="楷体" w:eastAsia="楷体"/>
          <w:szCs w:val="21"/>
        </w:rPr>
        <w:t>《当代经济管理》</w:t>
      </w:r>
      <w:r>
        <w:rPr>
          <w:rFonts w:hint="eastAsia" w:ascii="楷体" w:hAnsi="楷体" w:eastAsia="楷体"/>
          <w:szCs w:val="21"/>
        </w:rPr>
        <w:fldChar w:fldCharType="end"/>
      </w:r>
      <w:r>
        <w:rPr>
          <w:rFonts w:hint="eastAsia" w:ascii="楷体" w:hAnsi="楷体" w:eastAsia="楷体"/>
          <w:szCs w:val="21"/>
        </w:rPr>
        <w:t>2024年第3期</w:t>
      </w:r>
    </w:p>
    <w:p w14:paraId="21FE9C37">
      <w:pPr>
        <w:pStyle w:val="4"/>
        <w:spacing w:line="360" w:lineRule="auto"/>
        <w:rPr>
          <w:rFonts w:hint="eastAsia"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[2]</w:t>
      </w:r>
      <w:r>
        <w:rPr>
          <w:rFonts w:hint="eastAsia" w:ascii="楷体" w:hAnsi="楷体" w:eastAsia="楷体"/>
          <w:szCs w:val="21"/>
          <w:lang w:val="en-US" w:eastAsia="zh-CN"/>
        </w:rPr>
        <w:t>[期刊]</w:t>
      </w:r>
      <w:r>
        <w:rPr>
          <w:rFonts w:hint="eastAsia" w:ascii="楷体" w:hAnsi="楷体" w:eastAsia="楷体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/>
          <w:szCs w:val="21"/>
          <w:lang w:val="en-US" w:eastAsia="zh-CN"/>
        </w:rPr>
        <w:instrText xml:space="preserve"> HYPERLINK "javascript:goDetail('/academic-journal-cn_detail_thesis/02012154547469.html','02012154547469',3)" </w:instrText>
      </w:r>
      <w:r>
        <w:rPr>
          <w:rFonts w:hint="eastAsia" w:ascii="楷体" w:hAnsi="楷体" w:eastAsia="楷体"/>
          <w:szCs w:val="21"/>
          <w:lang w:val="en-US" w:eastAsia="zh-CN"/>
        </w:rPr>
        <w:fldChar w:fldCharType="separate"/>
      </w:r>
      <w:r>
        <w:rPr>
          <w:rFonts w:hint="eastAsia" w:ascii="楷体" w:hAnsi="楷体" w:eastAsia="楷体"/>
          <w:szCs w:val="21"/>
        </w:rPr>
        <w:t>检察机关服务保障民营经济健康发展路径研究</w:t>
      </w:r>
      <w:r>
        <w:rPr>
          <w:rFonts w:hint="eastAsia" w:ascii="楷体" w:hAnsi="楷体" w:eastAsia="楷体"/>
          <w:szCs w:val="21"/>
          <w:lang w:val="en-US" w:eastAsia="zh-CN"/>
        </w:rPr>
        <w:fldChar w:fldCharType="end"/>
      </w:r>
      <w:r>
        <w:rPr>
          <w:rFonts w:hint="eastAsia" w:ascii="楷体" w:hAnsi="楷体" w:eastAsia="楷体"/>
          <w:szCs w:val="21"/>
          <w:lang w:val="en-US" w:eastAsia="zh-CN"/>
        </w:rPr>
        <w:t xml:space="preserve"> </w:t>
      </w:r>
      <w:r>
        <w:rPr>
          <w:rFonts w:hint="eastAsia" w:ascii="楷体" w:hAnsi="楷体" w:eastAsia="楷体"/>
          <w:szCs w:val="21"/>
        </w:rPr>
        <w:fldChar w:fldCharType="begin"/>
      </w:r>
      <w:r>
        <w:rPr>
          <w:rFonts w:hint="eastAsia" w:ascii="楷体" w:hAnsi="楷体" w:eastAsia="楷体"/>
          <w:szCs w:val="21"/>
        </w:rPr>
        <w:instrText xml:space="preserve"> HYPERLINK "https://www.zhangqiaokeyan.com/search.html?doctypes=1_2_3_4_5_6_7_1-0_9_4-0&amp;sertext=%E8%83%A1%E6%B0%B8%E9%AB%98&amp;option=202" </w:instrText>
      </w:r>
      <w:r>
        <w:rPr>
          <w:rFonts w:hint="eastAsia" w:ascii="楷体" w:hAnsi="楷体" w:eastAsia="楷体"/>
          <w:szCs w:val="21"/>
        </w:rPr>
        <w:fldChar w:fldCharType="separate"/>
      </w:r>
      <w:r>
        <w:rPr>
          <w:rFonts w:hint="eastAsia" w:ascii="楷体" w:hAnsi="楷体" w:eastAsia="楷体"/>
          <w:szCs w:val="21"/>
        </w:rPr>
        <w:t>胡永高</w:t>
      </w:r>
      <w:r>
        <w:rPr>
          <w:rFonts w:hint="eastAsia" w:ascii="楷体" w:hAnsi="楷体" w:eastAsia="楷体"/>
          <w:szCs w:val="21"/>
        </w:rPr>
        <w:fldChar w:fldCharType="end"/>
      </w:r>
      <w:r>
        <w:rPr>
          <w:rFonts w:hint="eastAsia" w:ascii="楷体" w:hAnsi="楷体" w:eastAsia="楷体"/>
          <w:szCs w:val="21"/>
        </w:rPr>
        <w:t>；</w:t>
      </w:r>
      <w:r>
        <w:rPr>
          <w:rFonts w:hint="eastAsia" w:ascii="楷体" w:hAnsi="楷体" w:eastAsia="楷体"/>
          <w:szCs w:val="21"/>
        </w:rPr>
        <w:fldChar w:fldCharType="begin"/>
      </w:r>
      <w:r>
        <w:rPr>
          <w:rFonts w:hint="eastAsia" w:ascii="楷体" w:hAnsi="楷体" w:eastAsia="楷体"/>
          <w:szCs w:val="21"/>
        </w:rPr>
        <w:instrText xml:space="preserve"> HYPERLINK "https://www.zhangqiaokeyan.com/search.html?doctypes=1_2_3_4_5_6_7_1-0_9_4-0&amp;sertext=%E7%8E%8B%E5%BD%A6%E6%9E%97&amp;option=202" </w:instrText>
      </w:r>
      <w:r>
        <w:rPr>
          <w:rFonts w:hint="eastAsia" w:ascii="楷体" w:hAnsi="楷体" w:eastAsia="楷体"/>
          <w:szCs w:val="21"/>
        </w:rPr>
        <w:fldChar w:fldCharType="separate"/>
      </w:r>
      <w:r>
        <w:rPr>
          <w:rFonts w:hint="eastAsia" w:ascii="楷体" w:hAnsi="楷体" w:eastAsia="楷体"/>
          <w:szCs w:val="21"/>
        </w:rPr>
        <w:t>王彦林</w:t>
      </w:r>
      <w:r>
        <w:rPr>
          <w:rFonts w:hint="eastAsia" w:ascii="楷体" w:hAnsi="楷体" w:eastAsia="楷体"/>
          <w:szCs w:val="21"/>
        </w:rPr>
        <w:fldChar w:fldCharType="end"/>
      </w:r>
      <w:r>
        <w:rPr>
          <w:rFonts w:hint="eastAsia" w:ascii="楷体" w:hAnsi="楷体" w:eastAsia="楷体"/>
          <w:szCs w:val="21"/>
        </w:rPr>
        <w:fldChar w:fldCharType="begin"/>
      </w:r>
      <w:r>
        <w:rPr>
          <w:rFonts w:hint="eastAsia" w:ascii="楷体" w:hAnsi="楷体" w:eastAsia="楷体"/>
          <w:szCs w:val="21"/>
        </w:rPr>
        <w:instrText xml:space="preserve"> HYPERLINK "https://www.zhangqiaokeyan.com/journal-cn-57507/" </w:instrText>
      </w:r>
      <w:r>
        <w:rPr>
          <w:rFonts w:hint="eastAsia" w:ascii="楷体" w:hAnsi="楷体" w:eastAsia="楷体"/>
          <w:szCs w:val="21"/>
        </w:rPr>
        <w:fldChar w:fldCharType="separate"/>
      </w:r>
      <w:r>
        <w:rPr>
          <w:rFonts w:hint="eastAsia" w:ascii="楷体" w:hAnsi="楷体" w:eastAsia="楷体"/>
          <w:szCs w:val="21"/>
        </w:rPr>
        <w:t>《经济与社会发展研究》</w:t>
      </w:r>
      <w:r>
        <w:rPr>
          <w:rFonts w:hint="eastAsia" w:ascii="楷体" w:hAnsi="楷体" w:eastAsia="楷体"/>
          <w:szCs w:val="21"/>
        </w:rPr>
        <w:fldChar w:fldCharType="end"/>
      </w:r>
      <w:r>
        <w:rPr>
          <w:rFonts w:hint="eastAsia" w:ascii="楷体" w:hAnsi="楷体" w:eastAsia="楷体"/>
          <w:szCs w:val="21"/>
          <w:lang w:val="en-US" w:eastAsia="zh-CN"/>
        </w:rPr>
        <w:t xml:space="preserve"> </w:t>
      </w:r>
      <w:r>
        <w:rPr>
          <w:rFonts w:hint="eastAsia" w:ascii="楷体" w:hAnsi="楷体" w:eastAsia="楷体"/>
          <w:szCs w:val="21"/>
        </w:rPr>
        <w:t>2024年第8期</w:t>
      </w:r>
    </w:p>
    <w:p w14:paraId="1C313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/>
        <w:ind w:left="0" w:right="0" w:firstLine="0"/>
        <w:jc w:val="left"/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</w:pPr>
      <w:r>
        <w:rPr>
          <w:rFonts w:hint="eastAsia" w:ascii="楷体" w:hAnsi="楷体" w:eastAsia="楷体"/>
          <w:szCs w:val="21"/>
        </w:rPr>
        <w:t>[3]</w: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t>11.[期刊]</w: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begin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instrText xml:space="preserve"> HYPERLINK "javascript:goDetail('/academic-journal-cn_sichuan-party-building_thesis/02012101868237.html','02012101868237',11)" </w:instrTex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separate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t>更好促进民营经济健康发展高质量发展</w: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end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t xml:space="preserve"> </w: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begin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instrText xml:space="preserve"> HYPERLINK "https://www.zhangqiaokeyan.com/search.html?doctypes=1_2_3_4_5_6_7_1-0_9_4-0&amp;sertext=%E6%9C%AC%E5%88%8A%E8%AF%84%E8%AE%BA%E5%91%98&amp;option=202" </w:instrTex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separate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t>本刊评论员</w: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end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begin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instrText xml:space="preserve"> HYPERLINK "https://www.zhangqiaokeyan.com/journal-cn-16208/" </w:instrTex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separate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t>《四川党的建设》</w:t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fldChar w:fldCharType="end"/>
      </w:r>
      <w:r>
        <w:rPr>
          <w:rFonts w:hint="eastAsia" w:ascii="楷体" w:hAnsi="楷体" w:eastAsia="楷体" w:cstheme="minorBidi"/>
          <w:kern w:val="2"/>
          <w:sz w:val="24"/>
          <w:szCs w:val="21"/>
          <w:lang w:val="en-US" w:eastAsia="zh-CN" w:bidi="ar-SA"/>
        </w:rPr>
        <w:t>2023年第14期</w:t>
      </w:r>
    </w:p>
    <w:p w14:paraId="57836C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0" w:afterAutospacing="0"/>
        <w:ind w:leftChars="200" w:right="0" w:rightChars="0"/>
        <w:jc w:val="left"/>
        <w:rPr>
          <w:rFonts w:hint="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913FB"/>
    <w:rsid w:val="0E2446E4"/>
    <w:rsid w:val="1CF30371"/>
    <w:rsid w:val="231A6657"/>
    <w:rsid w:val="232C638A"/>
    <w:rsid w:val="236C6A6C"/>
    <w:rsid w:val="26555BF8"/>
    <w:rsid w:val="3558300F"/>
    <w:rsid w:val="4F7D3946"/>
    <w:rsid w:val="52A631B4"/>
    <w:rsid w:val="60CE34FA"/>
    <w:rsid w:val="77E4307C"/>
    <w:rsid w:val="7BFA1CF7"/>
    <w:rsid w:val="7D01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spacing w:line="500" w:lineRule="exact"/>
      <w:ind w:firstLine="480" w:firstLineChars="200"/>
    </w:pPr>
    <w:rPr>
      <w:rFonts w:ascii="宋体" w:hAnsi="宋体"/>
      <w:sz w:val="24"/>
    </w:rPr>
  </w:style>
  <w:style w:type="paragraph" w:styleId="4">
    <w:name w:val="endnote text"/>
    <w:basedOn w:val="1"/>
    <w:uiPriority w:val="0"/>
    <w:pPr>
      <w:snapToGrid w:val="0"/>
      <w:jc w:val="left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2118</Words>
  <Characters>2164</Characters>
  <Lines>0</Lines>
  <Paragraphs>0</Paragraphs>
  <TotalTime>8</TotalTime>
  <ScaleCrop>false</ScaleCrop>
  <LinksUpToDate>false</LinksUpToDate>
  <CharactersWithSpaces>2171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2025-06-07T06:12:00Z</dcterms:created>
  <dc:creator>君莫笑</dc:creator>
  <cp:lastModifiedBy>Vivian</cp:lastModifiedBy>
  <dcterms:modified xsi:type="dcterms:W3CDTF">2025-06-08T04:26:10Z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F9E2D3EE36A44202AD135C6B30D0FEAA_11</vt:lpwstr>
  </property>
  <property fmtid="{D5CDD505-2E9C-101B-9397-08002B2CF9AE}" pid="4" name="KSOTemplateDocerSaveRecord">
    <vt:lpwstr>eyJoZGlkIjoiNTk5MGY1Yzk3MWYzNzYyMGRkOTA0OGFjYTVlYTMwMDAiLCJ1c2VySWQiOiIyODExNTQ4MzgifQ==</vt:lpwstr>
  </property>
</Properties>
</file>