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40" w:line="264" w:lineRule="auto"/>
      </w:pPr>
    </w:p>
    <w:p>
      <w:pPr>
        <w:keepNext w:val="0"/>
        <w:spacing w:before="0" w:after="240" w:line="264" w:lineRule="auto"/>
      </w:pPr>
    </w:p>
    <w:p>
      <w:pPr>
        <w:keepNext w:val="0"/>
        <w:spacing w:before="0" w:after="240" w:line="264" w:lineRule="auto"/>
      </w:pPr>
    </w:p>
    <w:p>
      <w:pPr>
        <w:keepNext w:val="0"/>
        <w:spacing w:before="0" w:after="240" w:line="264" w:lineRule="auto"/>
      </w:pPr>
    </w:p>
    <w:p>
      <w:pPr>
        <w:keepNext w:val="0"/>
        <w:spacing w:before="0" w:after="240" w:line="264" w:lineRule="auto"/>
      </w:pPr>
    </w:p>
    <w:p>
      <w:pPr>
        <w:keepNext w:val="0"/>
        <w:spacing w:before="0" w:after="360" w:line="264" w:lineRule="auto"/>
        <w:jc w:val="center"/>
      </w:pPr>
      <w:r>
        <w:rPr>
          <w:rFonts w:ascii="Calibri" w:hAnsi="Calibri" w:eastAsia="Microsoft YaHei"/>
          <w:b/>
          <w:i w:val="0"/>
          <w:color w:val="9A6700"/>
          <w:sz w:val="20"/>
        </w:rPr>
        <w:t>STRATEGY CHARTER · 2026</w:t>
      </w:r>
    </w:p>
    <w:p>
      <w:pPr>
        <w:keepNext w:val="0"/>
        <w:spacing w:before="0" w:after="160" w:line="264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60"/>
        </w:rPr>
        <w:t>榜样教育项目纲领</w:t>
      </w:r>
    </w:p>
    <w:p>
      <w:pPr>
        <w:keepNext w:val="0"/>
        <w:spacing w:before="0" w:after="560" w:line="264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30"/>
        </w:rPr>
        <w:t>五份PPT逐页解读与战略汇总</w:t>
      </w:r>
    </w:p>
    <w:p>
      <w:pPr>
        <w:keepNext w:val="0"/>
        <w:spacing w:before="0" w:after="1440" w:line="264" w:lineRule="auto"/>
        <w:jc w:val="center"/>
      </w:pPr>
      <w:r>
        <w:rPr>
          <w:rFonts w:ascii="Calibri" w:hAnsi="Calibri" w:eastAsia="Microsoft YaHei"/>
          <w:b w:val="0"/>
          <w:i/>
          <w:color w:val="55657A"/>
          <w:sz w:val="22"/>
        </w:rPr>
        <w:t>从课程公司到家庭成长数据科技与服务平台</w:t>
      </w:r>
    </w:p>
    <w:p>
      <w:pPr>
        <w:keepNext w:val="0"/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 w:val="0"/>
          <w:color w:val="55657A"/>
          <w:sz w:val="19"/>
        </w:rPr>
        <w:t>内部讨论稿 · 仅用于战略对齐，不构成法律、税务或投资意见</w:t>
      </w:r>
    </w:p>
    <w:p>
      <w:pPr>
        <w:keepNext w:val="0"/>
        <w:spacing w:before="0" w:after="0" w:line="264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22"/>
        </w:rPr>
        <w:t>2026年8月9日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编制说明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本文件基于用户提供的五份PPT进行逐页阅读、跨材料比对和战略提炼。文中把原材料的陈述视为内部方案或待验证假设，不把其中的市场规模、估值、上市、转化率和增长目标自动视为已被外部证据证明的事实。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>使用方式：</w:t>
            </w:r>
            <w:r>
              <w:rPr>
                <w:rFonts w:ascii="Calibri" w:hAnsi="Calibri" w:eastAsia="Microsoft YaHei"/>
                <w:color w:val="172033"/>
                <w:sz w:val="22"/>
              </w:rPr>
              <w:t>前半部分用于管理层统一方向、原则、边界和未来12个月行动；后半部分保留逐页解读，便于追溯每一项纲领结论来自哪一页材料。</w:t>
            </w:r>
          </w:p>
        </w:tc>
      </w:tr>
    </w:tbl>
    <w:p>
      <w:pPr>
        <w:keepNext w:val="0"/>
        <w:spacing w:before="0" w:after="120" w:line="264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五份材料登记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4200"/>
        <w:gridCol w:w="800"/>
        <w:gridCol w:w="3760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页数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在本文件中的角色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榜样教育战略白皮书_30页演讲汇报版_D盘版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30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战略主干；与微信版30页画面逐页相同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B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榜样教育战略白皮书_30页演讲汇报版_微信版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30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战略主干；二进制不同但导出画面一致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C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家庭教育大模型平台科技公司项目合作方案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10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合作愿景、技术路径、组织与资本叙事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榜样教育新商业模式对外宣发PPT_原图版(2)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20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商业模式、产品界面、裂变与用户经营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榜样科技创业合伙人股权架构设计(1)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14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股权、人才激励、控制权与退出机制</w:t>
            </w:r>
          </w:p>
        </w:tc>
      </w:tr>
    </w:tbl>
    <w:p>
      <w:pPr>
        <w:keepNext w:val="0"/>
        <w:spacing w:before="0" w:after="160" w:line="264" w:lineRule="auto"/>
      </w:pPr>
      <w:r>
        <w:rPr>
          <w:rFonts w:ascii="Calibri" w:hAnsi="Calibri" w:eastAsia="Microsoft YaHei"/>
          <w:b w:val="0"/>
          <w:i w:val="0"/>
          <w:color w:val="9B1C1C"/>
          <w:sz w:val="19"/>
        </w:rPr>
        <w:t>来源完整性说明：材料D的PPT包可提取20页XML、文本和7张嵌入原图，但本机PowerPoint报告“文件或目录损坏且无法读取”。本文件已按包内20页顺序完成解读；源文件保持原样归档，建议另行修复后再作为正式对外演示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阅读导航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第一部分：</w:t>
      </w:r>
      <w:r>
        <w:rPr>
          <w:rFonts w:ascii="Calibri" w:hAnsi="Calibri" w:eastAsia="Microsoft YaHei"/>
          <w:color w:val="172033"/>
          <w:sz w:val="22"/>
        </w:rPr>
        <w:t>项目纲领：使命、定位、产品、增长、数据AI、组织、治理与指标。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第二部分：</w:t>
      </w:r>
      <w:r>
        <w:rPr>
          <w:rFonts w:ascii="Calibri" w:hAnsi="Calibri" w:eastAsia="Microsoft YaHei"/>
          <w:color w:val="172033"/>
          <w:sz w:val="22"/>
        </w:rPr>
        <w:t>战略冲突与裁决：对五份材料中相互矛盾或风险过高的表述作统一判断。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第三部分：</w:t>
      </w:r>
      <w:r>
        <w:rPr>
          <w:rFonts w:ascii="Calibri" w:hAnsi="Calibri" w:eastAsia="Microsoft YaHei"/>
          <w:color w:val="172033"/>
          <w:sz w:val="22"/>
        </w:rPr>
        <w:t>未来12个月：从概念叙事转入产品验证、交付标准化和治理建设。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第四部分：</w:t>
      </w:r>
      <w:r>
        <w:rPr>
          <w:rFonts w:ascii="Calibri" w:hAnsi="Calibri" w:eastAsia="Microsoft YaHei"/>
          <w:color w:val="172033"/>
          <w:sz w:val="22"/>
        </w:rPr>
        <w:t>逐页解读：覆盖五个文件；两份视觉完全相同的白皮书采用共同30页解读并双版本映射。</w:t>
      </w:r>
    </w:p>
    <w:p>
      <w:pPr>
        <w:pStyle w:val="Heading1"/>
        <w:keepNext/>
        <w:pageBreakBefore/>
      </w:pPr>
      <w:r>
        <w:rPr>
          <w:rFonts w:ascii="Calibri" w:hAnsi="Calibri" w:eastAsia="Microsoft YaHei"/>
          <w:b/>
          <w:color w:val="2E74B5"/>
          <w:sz w:val="32"/>
        </w:rPr>
        <w:t>第一部分  项目纲领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9A6700"/>
                <w:sz w:val="22"/>
              </w:rPr>
              <w:t>一页结论：</w:t>
            </w:r>
            <w:r>
              <w:rPr>
                <w:rFonts w:ascii="Calibri" w:hAnsi="Calibri" w:eastAsia="Microsoft YaHei"/>
                <w:color w:val="172033"/>
                <w:sz w:val="22"/>
              </w:rPr>
              <w:t>榜样教育不应把自己定义为AI工具公司，也不应急于宣布自己已经是平台。更稳健的路径是：以家庭真实改变为价值，以标准化交付为底座，以最小必要且获授权的成长数据为资产，以AI协同提升效率和个性化，以会员与长期服务形成复购，最终在结果可验证、单位经济模型成立后再开放生态。</w:t>
            </w:r>
          </w:p>
        </w:tc>
      </w:tr>
    </w:tbl>
    <w:p>
      <w:pPr>
        <w:keepNext w:val="0"/>
        <w:spacing w:before="0" w:after="120" w:line="264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使命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帮助父母与孩子在真实家庭场景中形成可见、可衡量、可持续的积极改变，并让高质量家庭成长服务能够以更低边际成本被稳定复制。使命的对象不是“数据”或“AI”，而是家庭关系、行为与成长结果。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战略定位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榜样教育定位为“家庭成长数据科技与服务平台的建设者”。在当前阶段，经营实体首先仍是一家产品与服务公司；只有当复购产品、标准化交付、持续授权的数据和可扩展供给同时成立时，平台属性才真正成立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 核心用户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决策者与付费者主要是父母，成长对象包括孩子与家庭关系。产品入口可以是亲子沟通、学习习惯、手机管理、自驱力和情绪等高频问题，但表达必须避免污名化儿童、制造焦虑或承诺确定疗效。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 价值主张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用户购买的不是大模型，而是更清楚的问题判断、更容易执行的行动计划、持续的反馈支持、可见的阶段变化以及可信任的长期陪伴。AI属于价值实现机制，不是价值本身。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 战略顺序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先选择一个高频问题做出高留存产品闭环，再把课程、助教、评估、运营和复购标准化；随后设计数据结构与授权治理，将AI嵌入任务、反馈和预警；最后才扩展会员、城市服务、专家市场与生态合作。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 核心产品阶梯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建议采用“家庭测评/内容入口—21天低门槛挑战—90天家庭成长计划—年度会员—咨询、沙龙与城市服务”的阶梯。第一阶段只验证“家长训练营+AI陪练+成长报告”这一核心组合，不同时建设所有界面和生态模块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 交付原则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交付必须同时覆盖课程内容、每日任务、陪伴反馈、阶段评估、成果呈现和复购建议。关键流程形成SOP，但SOP不能替代专业判断；涉及儿童风险、心理危机、虐待或自伤线索时，必须有人工升级和专业转介机制。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 增长原则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增长围绕真实结果而非流量投放。内容与直播建立认知和信任，体验产品筛选意愿，社群交付产生结果，成果展示推动续费和自愿推荐。裂变必须单层、透明、可追溯，奖励以成长权益为主，避免多层返佣和“拉人头”观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 商业模式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收入结构由课程现金流逐步升级为会员订阅、AI陪伴、咨询活动和生态服务的复合收入。平台估值不是目标函数；优先验证毛利、留存、续费、获客回收期和家庭生命周期价值。材料中的1000万、1亿、10亿、100亿属于阶段愿景，须由可审计经营模型支撑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 数据与AI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家庭成长数据的价值来自在明确目的、最小必要、知情授权、分级访问和可撤回机制下改善服务，而不是把家庭隐私本身视为可出售资产。AI应承担问答、任务提醒、总结、初步建议和服务辅助；高风险判断、关键反馈和未成年人相关决策保留人工责任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 组织架构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设置产品中心、交付中心、数据AI中心三个价值主链条；增长与商业化作为横向能力协同。优先补齐产品负责人、交付负责人和数据产品经理，再补AI应用和增长负责人。组织规模随闭环证据扩张，不以人数替代能力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 公司与治理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独立新公司可以隔离风险、明确资产和吸引人才，但前提是先确定知识产权、客户数据、品牌、课程资产、人员与现金流的归属。重大事项、关联交易、数据安全、未成年人保护、内容审核和服务质量应进入董事会或治理清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 人才与股权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股权是长期合约而非即时福利。可采用职业经理人、事业伙伴、创业合伙人分层机制，并配合4年成熟、悬崖期、业绩条件和退出回购。具体比例、回购价格、控制权和税务处理必须在授予前经法律、财务与税务专项审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 北极星指标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建议北极星指标为“持续获得可验证成长结果的有效家庭数”。支持指标包括：测评完成率、21天完成率、90天结果率、阶段续费率、会员续费率、主动推荐率、自然新增占比、服务升级率、人工升级响应时效以及必要数据字段的授权覆盖率。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 经营红线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红线1  未经产品闭环验证，不扩大功能、城市或赛道。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55657A"/>
        </w:rPr>
        <w:t>平台化必须晚于结果验证。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红线2  不把“AI”“大模型”“数据资产”作为对家长的第一价值承诺。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55657A"/>
        </w:rPr>
        <w:t>品牌第一句应是家庭改变。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红线3  不把儿童与家庭隐私当作可交易资产。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55657A"/>
        </w:rPr>
        <w:t>数据价值来自受托使用和服务改进。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红线4  不以多层返佣、强推焦虑或夸大疗效驱动增长。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55657A"/>
        </w:rPr>
        <w:t>裂变以自愿、透明和真实结果为前提。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红线5  不把估值、上市或百亿收入当作已经成立的经营事实。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55657A"/>
        </w:rPr>
        <w:t>所有外部叙事必须与可验证证据匹配。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红线6  不在法律、税务、估值和退出规则未明确前授予实质权益。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55657A"/>
        </w:rPr>
        <w:t>股权先制度、后授予。</w:t>
      </w:r>
    </w:p>
    <w:p>
      <w:pPr>
        <w:pStyle w:val="Heading1"/>
        <w:keepNext/>
        <w:pageBreakBefore/>
      </w:pPr>
      <w:r>
        <w:rPr>
          <w:rFonts w:ascii="Calibri" w:hAnsi="Calibri" w:eastAsia="Microsoft YaHei"/>
          <w:b/>
          <w:color w:val="2E74B5"/>
          <w:sz w:val="32"/>
        </w:rPr>
        <w:t>第二部分  战略冲突与统一裁决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冲突1  “黑灯工厂式全自动化”与“家庭教育依赖信任和专业服务”冲突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裁决：将目标改为“人机协同的高自动化运营系统”。自动化用于触达、排程、提醒、总结和常规问答；诊断、危机、价值判断、投诉和关键成长反馈保留人工责任。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冲突2  “用户数据资产可调用、支撑高估值”与家庭隐私和未成年人保护冲突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裁决：把数据定义为受托管理的服务资产，不是可自由交易资产。数据采集必须目的限定、最小必要、分级授权、可撤回、可删除，并建立未成年人和敏感信息的更高保护级别。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冲突3  “替代传统教培”与现阶段依赖课程现金流冲突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裁决：表述为“从课程交易升级为长期家庭成长服务”。课程不是要被立即取消，而是作为入口和现金流，被新的陪伴、会员和数据闭环重新组织。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冲突4  “跨赛道快速复用”与家庭教育的专业深度冲突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裁决：前三年不把跨赛道复制作为主任务。底层技术可以复用，但知识、服务流程、风控和供给不能仅靠替换知识库复制。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冲突5  “一年完成核心闭环、100万家庭、50人、3000万投入”之间资源约束不清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裁决：采用阶段闸门。先以一个场景、一个核心产品、一个城市或私域样本验证结果与单位经济；达到闸门后再扩团队和投入。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冲突6  “经济收益不等于决策权”与合伙人长期信任之间可能失衡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裁决：创始人控制权可以被保护，但同时需要信息权、经济权、重大利益冲突回避、稀释规则和退出价格等少数权益保护，避免激励计划沦为单方裁量。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冲突7  “放弃现金×创业系数”简洁，但缺少估值和公平基础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裁决：该公式仅可作为谈判提示，不可直接作为授予定价。最终方案应基于岗位价值、公司估值、授予工具、成熟条件、税负、稀释和离职情形进行场景测算。</w:t>
      </w:r>
    </w:p>
    <w:p>
      <w:pPr>
        <w:pStyle w:val="Heading1"/>
        <w:keepNext/>
        <w:pageBreakBefore/>
      </w:pPr>
      <w:r>
        <w:rPr>
          <w:rFonts w:ascii="Calibri" w:hAnsi="Calibri" w:eastAsia="Microsoft YaHei"/>
          <w:b/>
          <w:color w:val="2E74B5"/>
          <w:sz w:val="32"/>
        </w:rPr>
        <w:t>第三部分  未来12个月行动纲要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未来12个月的目标不是证明公司已经是平台，而是证明一个家庭成长产品能够稳定产生结果、持续复购、沉淀合规数据并被团队复制。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5000"/>
        <w:gridCol w:w="31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关键任务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阶段交付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0-30天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确定单一问题与核心客群；冻结MVP范围；定义结果指标、数据字典和授权文本；明确新公司与原业务资产边界。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产品假设、交付蓝图、数据治理清单、合作分工RACI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31-90天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用现有SaaS底座上线最小闭环；完成家长训练营、AI陪练和成长报告；招募首批种子家庭。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可用产品、SOP v1、首批真实交付与问题清单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4-6个月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连续复盘完成率、结果率、续费和人工成本；修订画像与Agent；形成高风险人工升级机制。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结果报告、单位经济模型、SOP v2、AI安全评估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7-9个月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验证内容+私域+转介绍增长；试点一个城市沙龙或机构合作；不做全国扩张。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增长实验台账、单城/单机构试点结论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9"/>
              </w:rPr>
              <w:t>10-12个月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根据闸门决定扩大、收缩或转向；完成正式治理与人才激励文件；形成下一年度预算。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董事会决策包、年度经营计划、经审查的股权激励方案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阶段闸门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产品闸门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核心场景的任务完成率与阶段结果率连续改善，且不存在不可接受的安全或投诉问题。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商业闸门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获客、交付和服务成本可测；续费与生命周期价值能够覆盖合理获客和人工成本。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数据闸门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必要字段定义清楚、授权可证明、访问可审计、删除可执行，且模型效果确实因数据改善。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组织闸门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核心SOP在非创始团队成员手中也能稳定执行，关键岗位责任和升级机制清晰。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扩张闸门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单一产品和单一渠道先成立，再开放第二场景、第二城市或第三方生态。</w:t>
      </w:r>
    </w:p>
    <w:p>
      <w:pPr>
        <w:pStyle w:val="Heading1"/>
        <w:keepNext/>
        <w:pageBreakBefore/>
      </w:pPr>
      <w:r>
        <w:rPr>
          <w:rFonts w:ascii="Calibri" w:hAnsi="Calibri" w:eastAsia="Microsoft YaHei"/>
          <w:b/>
          <w:color w:val="2E74B5"/>
          <w:sz w:val="32"/>
        </w:rPr>
        <w:t>第四部分  逐页解读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>版本映射：</w:t>
            </w:r>
            <w:r>
              <w:rPr>
                <w:rFonts w:ascii="Calibri" w:hAnsi="Calibri" w:eastAsia="Microsoft YaHei"/>
                <w:color w:val="172033"/>
                <w:sz w:val="22"/>
              </w:rPr>
              <w:t>材料A（D盘版）与材料B（微信版）虽文件哈希不同，但30页导出画面逐页完全相同。因此下列30页逐页解读同时适用于两个文件，相当于覆盖两份材料的60个物理页。</w:t>
            </w:r>
          </w:p>
        </w:tc>
      </w:tr>
    </w:tbl>
    <w:p>
      <w:pPr>
        <w:keepNext w:val="0"/>
        <w:spacing w:before="0" w:after="120" w:line="264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战略白皮书两版本（共同30页解读）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第01页｜封面：AI成长平台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确立“家庭成长数据科技公司”而非AI工具公司的主叙事。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这是整套材料最重要的定位句，决定后续产品、组织、融资和数据故事。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定位清楚，但“平台”应作为建设目标而非当前既成事实。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正式口径：我们正在建设以家庭改变为核心的成长数据科技与服务平台。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第02页｜汇报主线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用机会、定位、模式、能力、路径五个问题组织30页内容。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这是一张管理层对齐地图，适合成为董事会讨论的目录。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导出画面中标题与副标题重叠，影响正式使用。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保留五问框架，并修复版式；每一问配置一项可验证决策。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第03页｜机会判断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核心机会是重构家庭成长服务，课程与AI分别是入口和能力。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把价值中心从技术转向长期服务，是正确的战略起点。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仍缺少目标家庭、核心问题和效果证据。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将机会定义为“可持续家庭改变的供给缺口”，并用用户研究验证。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第04页｜需求换挡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指出学习焦虑、关系焦虑和陪伴缺口三类需求。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把市场从提分扩展到家庭系统，有助于构建更长生命周期。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三类需求跨度较大，第一阶段不能同时承接。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选择一个高频问题作为MVP，其余问题进入产品路线图而非首发范围。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第05页｜用户购买确定性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强调用户购买的是孩子改变和关系改善，而不是AI。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该页应成为品牌、产品和销售的共同价值原则。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家庭成长不是绝对可控结果，不能承诺“确定疗效”。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承诺可执行过程、可见阶段进步和可信陪伴，不承诺必然结果。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第06页｜先闭环后平台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给出课程—改变—记录—AI—数据库—生态的战略顺序。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因果链完整，能够抑制“先搭大平台”的冲动。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每一节点缺少过关指标，容易又变成概念链。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为每一环设置闸门：完成率、结果率、续费、数据授权、模型增益和供给质量。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第07页｜公司定位升级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用“不是课程公司、不是聊天工具、而是平台公司”形成三段式定位。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适合内部澄清边界，也适合融资叙事。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过早否定课程公司可能削弱现有现金流与能力基础。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表述为“以课程能力为起点，升级为家庭成长数据科技与服务公司”。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第08页｜复合收入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提出入口、核心、订阅、数据、生态五层产品与价格带。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产品阶梯能够连接获客、结果、复购和高客单服务。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价格只是假设；“数据产品”不能等同出售画像。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用试点验证价格和转化；数据报告作为会员服务与机构洞察，需严格授权。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第09页｜成长旅程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把内容、直播、体验课、训练营、AI陪伴和会员串成用户旅程。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从漏斗升级为旅程，有利于逐节点设计任务和数据。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页面底部误用了通用平台说明，与本页重点不完全匹配。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为每一节点明确用户任务、退出条件、人工责任、数据采集和下一步推荐。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第10页｜增长飞轮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增长围绕学习、改变、数据、AI和更好体验循环。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飞轮把裂变建立在结果而非投放上，方向正确。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“数据越多越准”不是必然，还取决于质量、偏差和治理。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将飞轮改为“高质量授权数据—更好建议—更好结果—更多信任家庭”。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第11页｜产品矩阵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覆盖父母、孩子、家庭关系、AI陪伴和数据产品。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多角色视角符合家庭系统的真实复杂性。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同时服务全家会显著增加内容、安全和交付难度。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第一年以父母端为主，孩子端只做低风险任务与反馈，并设置家长知情和人工审核。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第12页｜爆款组合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建议家长训练营、AI陪练、成长报告作为第一阶段组合。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这是五份材料中最可执行的MVP定义。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仍需限定单一问题、目标年龄、周期和成功标准。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用一个问题场景建立可复用闭环，再扩展到第二问题。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第13页｜复制型交付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将课程、助教、运营、评估、复购和质检流程化。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该页把组织能力放在技术之前，符合平台成长规律。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底部通用说明重复，且SOP可能被误解为机械服务。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SOP标准化常规动作，专业判断与危机处理建立人工升级。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第14页｜交付指标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用完课率、打卡率、画像完整度、活跃率和续费率管理交付。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开始把价值主张转成责任和指标，是从PPT走向经营的关键。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缺少真实结果、安全、投诉和人工成本指标。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增加90天结果率、投诉率、风险升级时效、单家庭交付工时和净推荐意愿。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第15页｜AI的正确位置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AI放在交付闭环，而不是品牌第一句。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这是项目最重要的技术原则。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需要进一步明确AI可做与不可做的边界。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AI负责建议与辅助，专业诊断、危机处置和关键未成年人决策由人负责。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第16页｜AI平台架构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知识库、用户画像、成长规划、陪练、督导和数据中台形成链路。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架构从用户任务出发，比堆模型名称更有价值。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底部通用平台说明再次重复；缺少权限、审计和模型评估层。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在架构中加入同意管理、访问控制、人工升级、安全评测和数据生命周期。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第17页｜Agent体系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按家长、孩子、助教、家庭和管理层配置Agent。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任务与输出物绑定，是可评估Agent的正确设计方式。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“孩子陪练”需要年龄适配、内容安全和家长可见性。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每个Agent必须有用户任务、允许动作、禁区、人工责任人和质量指标。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第18页｜家庭成长数据库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把父母、孩子、互动和改变路径视为护城河。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长期纵向数据确实可能提升个性化和研究能力。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护城河不能建立在过度采集或用户难以退出之上。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把护城河定义为“信任+高质量授权数据+可验证交付方法”，而非数据占有量。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第19页｜数据采集结构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提出父母、孩子、家庭三类画像。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从第一天设计结构能避免后续只有聊天记录而无可用数据。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画像字段容易越界，尤其是情绪、家庭冲突和儿童信息。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先做必要性评估、敏感等级、保存期限和删除机制，再采集；默认最小化。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第20页｜增长联动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内容、直播、社群、成果、推荐和会员形成增长链。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增长与交付连接，避免把获客和服务割裂。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导出画面标题和副标题重叠，底部说明也与本页重复；“成果展示”需隐私边界。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修复版式；案例默认匿名与单独授权，儿童影像和家庭细节不得被默认营销使用。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第21页｜用户质量指标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提出有效线索、体验转化、任务完成、续费和转介绍目标。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从线索数量转向用户质量，是保护交付的正确变化。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30%、15-25%、70%、30%、20%均为未验证基准。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将数字标记为试点假设，连续三个周期复盘后再成为正式预算指标。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第22页｜组织重建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产品中心定义价值，交付中心兑现价值，数据AI中心放大价值。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三中心结构清晰，适合早期公司避免技术主导一切。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缺少增长、合规、财务和跨中心决策机制。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以三中心为主链，增长与风控横向协同；建立周经营会和月度治理复盘。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第23页｜招聘优先级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先招产品、交付、数据，再补AI和增长。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排序与战略顺序一致，能避免先堆研发。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岗位产出清楚但选人标准、预算和创始人兼任期未说明。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每个岗位绑定90天交付；未过产品闸门前由小团队兼任而非扩编。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第24页｜财务阶段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以1000万、1亿、10亿、100亿描绘收入结构升级。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强调收入质量而非规模，方向正确。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数字跨度巨大，未给市场、价格、留存、毛利和资本需求模型。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把四个数字降级为远景情景，正式财务模型从家庭数×ARPU×留存×毛利构建。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第25页｜董事会指标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从用户、产品、商业、数据、组织五维判断战略。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这是纲领落地为治理的关键页。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“画像完整度”容易诱导过度采集，且缺少安全和现金指标。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改为“必要字段授权覆盖率”，并增加现金跑道、重大投诉、风险事件和单位交付成本。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第26页｜融资故事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以市场、复合模式和数据壁垒替代单纯技术概念。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投资叙事从模型能力转向经营确定性是正确方向。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仍缺少留存、毛利、CAC回收期和证据样本。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融资前先形成一套可审计的产品结果与单位经济证据包。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第27页｜三年路线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产品验证、规模复制、平台生态三年递进。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每年打一场主仗，节奏优于并行扩张。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10万和100万家庭目标需与交付能力、获客成本、数据治理匹配。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每年目标以闸门定义；未达闸门则延后平台开放，不以年份倒逼冒进。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第28页｜第一年五件事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聚焦爆款产品、交付SOP、AI助手、数据体系和增长飞轮。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五件事覆盖价值、交付、技术、资产和增长，结构完整。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负责人名称存在“中心先于人才”的风险，验收标准不够量化。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为五件事设单一负责人、季度里程碑、预算和停止条件。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第29页｜最终共识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产品标准化、数据资产化、AI协同化、生态平台化。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四化顺序能够成为公司战略口号。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“数据资产化”需避免被误解为数据交易。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正式表述改为“产品标准化、数据可信化、AI协同化、生态平台化”。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第30页｜下一步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要求从统一共识转入产品体系、PRD、融资BP和组织手册。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明确“停止扩写、启动验证”，是材料中最具执行力的结尾。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四类文件若同时启动会分散核心团队。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优先完成产品验证与交付标准；PRD、治理和融资材料随真实证据迭代。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家庭教育大模型平台科技公司项目合作方案（10页）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第01页｜项目合作封面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把讨论聚焦战略定位、落地路径、组织机制和合作模式。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该材料是合作邀约而非完整商业计划。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缺少具体合作对象、决策请求和下一步会议产出。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封面后应增加合作目标、双方资源、决策事项与试点周期。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第02页｜背景与愿景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提出平台赛道、数据驱动和跨赛道复用，并追求全链路自动化。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愿景强，能激发合作方对平台潜力的理解。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“替代传统教培”“百亿估值”“黑灯工厂”均过度确定。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对外改为待验证假设；自动化目标改为人机协同和可审计运营。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第03页｜赛道价值判断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从平台定位、估值逻辑和跨赛道复用论证价值。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三个维度覆盖市场、资本与扩张。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没有市场证据、可比公司、合规条件和数据权属基础。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建立证据清单；未完成验证前不对外使用百亿或千亿估值表述。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第04页｜商业闭环目标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用自动获客、成交、服务和风险控制定义“黑灯工厂”。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追求低边际成本和流程自动化有经营价值。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家庭教育不能无人化；“不会出现合规爆雷”是不应作出的保证。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定义自动化率与人工升级率，并把合规表达改为持续治理目标。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第05页｜三大落地板块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复用教培SaaS，把80%资源放在知识库、Agent和用户裂变。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避免从零研发是正确的资源策略。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裂变体系优先级可能高于结果验证；技术与知识库被合并也不够清晰。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资源先投产品与交付闭环，再投裂变；技术、知识、数据治理分别设负责人。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第06页｜一年节奏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用20%底座、80%用户端和一年闭环约束执行。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强制聚焦有利于避免长期基础建设。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百分比并非资源测算，缺少季度闸门和失败退出条件。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按30/90/180/365天设置里程碑，资源比例随证据动态调整。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第07页｜组织与资本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建议独立公司、资本人才同步和提前储备，并强调上市潜力。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意识到组织载体与资源同步的重要性。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资本关注和上市潜力未举证；新公司资产边界未定义。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先完成资产、IP、数据、人员和客户迁移方案，再启动融资叙事。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第08页｜核心团队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要求懂产品、用户、数据、心智的复合人才和All In。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强调创业心态与决策效率，适合早期核心队伍。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“All In”不能替代岗位能力、劳动安排与健康边界。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用角色责任、决策权、90天产出和冲突机制定义核心团队。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第09页｜合作模式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提出快速适配、角色分工、资源储备和业务扩张路径。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路径顺序合理，适合合作启动。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缺少费用、IP、数据控制、验收、终止和争议机制。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试点协议至少明确范围、RACI、里程碑、预算、数据、IP和退出条款。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第10页｜合作结束页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以共建新一代家庭教育入口收束。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情绪完整，但行动请求不够具体。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合作方无法从本页判断应立即做什么。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改为明确30天试点决策、负责人、资源投入和下次评审日期。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榜样教育新商业模式对外宣发PPT（20页）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第01页｜新商业模式封面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用孩子问题、父母成长和家庭改变定义新模式。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一句话同时覆盖入口、价值和结果，品牌逻辑清晰。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标题叫对外宣发，但内容实际更像产品与经营蓝图。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对外版应减少内部机制和类比，保留用户价值与可信证据。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第02页｜从交易到关系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比较经营对象、增长、交付、资产和定位的旧新逻辑。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这是五份材料中最完整的商业模式转型表。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“中国父母成长生态平台”仍应视为远景定位。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把本页作为纲领总表，并在每一行配置年度指标。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第03页｜商业模式内核图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组合拼多多增长、字节分发、海底捞服务和教育长期陪伴。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类比帮助理解增长、算法、体验和交付四种能力。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品牌借用过多可能掩盖自己的独特因果链，也可能引发误解。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内部保留类比；对外改成自有“家庭成长操作系统”及证据链。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第04页｜四种成熟能力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将外部类比转化为裂变、画像、服务与陪伴的对应设计。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能把抽象借鉴落到业务模块。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“越使用越懂家庭”必须受数据边界和模型评估约束。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每种能力设置用户价值、风险边界、责任人和验证指标。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第05页｜小程序UI总览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展示首页、测评、AI诊断、成长方案、陪跑和会员中心。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完整呈现从入口到留存的产品愿景。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首版功能过多，首页同时承担内容、任务、服务和商城，MVP风险高。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首版只保留测评、任务、反馈、报告和人工服务入口。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第06页｜增长优化UI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增加体检、每日任务、孩子端、排行榜、报告海报和AI管家。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业务闭环清楚，游戏化可提升执行。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儿童排行榜和公开成长结果可能制造压力、比较和隐私风险。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默认关闭公开排名；奖励个人进步而非家庭间比较，分享需单独授权。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第07页｜用户成长旅程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从触发、觉醒、行动、改变、长期到传播设计路径。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把家长心理、平台动作、产品和指标对齐，适合产品蓝图。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“温和呈现家庭互动影响”需要避免把问题归咎于父母。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用非评判式语言呈现影响因素，并允许用户不同意或重新评估。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第08页｜分享裂变商城UI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用邀请、拼团、积分商城和会员转介绍形成商业闭环。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弱现金激励、强成长权益的方向优于传统分销。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拼团与邀请奖励仍可能产生社交压力和分销观感。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坚持单层奖励、清晰价格、无强制分享，并建立反作弊与投诉机制。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第09页｜裂变原则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从现金佣金、卖课话术和代理身份转向成长权益与价值传播。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风险意识较强，是裂变机制的治理页。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需要再增加隐私、未成年人、广告真实性和奖励上限。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把本页升级为增长合规准则并纳入产品验收。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第10页｜名师咨询与线下沙龙UI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展示专家发现、预约、咨询、活动报名和复购路径。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线上线下结合能提升信任和高客单转化。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专家资质、儿童接触、录音录像、现场安全和投诉流程未体现。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上线前建立专家准入、背景核验、服务边界、记录规则和应急预案。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第11页｜线上线下服务闭环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用咨询、沙龙、城市活动、社群和档案形成长期服务。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平台价值与收入方式对齐，适合服务产品规划。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不同服务的责任、质量标准和毛利差异较大。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先验证一种高信任服务，再复制；每类服务独立核算质量与经济性。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第12页｜用户社区UI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展示打卡、成果、求助、评论、同城圈和身份等级。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社区可以沉淀行动与口碑，降低育儿孤独感。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家庭求助和儿童照片属于高敏感内容，存在暴露、误导和伤害风险。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建立匿名选项、审核、举报、危机升级、未成年人影像保护和内容保留规则。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第13页｜社区经营价值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将社区定义为成长结果传播场，而非吐槽广场。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目标清楚，连接留存、信任、履约和传播。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过度强调正面成果可能压制真实困难和负面反馈。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允许求助与异议，区分支持社区、案例展示和营销内容。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第14页｜客户后台UI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把会员、服务、订单、家庭档案和客服集中到家庭账户。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这是把一次购买变为长期关系的关键界面。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账户聚合增加权限错误和敏感信息泄露的影响面。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家庭成员分权限、敏感字段遮蔽、操作留痕和导出删除必须进入设计。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第15页｜家庭账户经营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解释会员身份、服务进度、订单、档案、活动和客服的经营价值。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完整回答为什么“我的”不是普通订单中心。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“每次服务不从零开始”必须与用户控制历史数据的权利平衡。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用户可查看、纠正、下载和删除数据；新用途需重新说明与授权。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第16页｜第一个100万家庭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提出内容/IP、老用户裂变、城市社群、机构合作和少量投放的五级增长结构。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降低投流依赖的方向与白皮书一致。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占比30/30/20/15/5没有实证，100万会显著放大交付和治理压力。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先以1000、1万家庭阶段验证渠道质量，再决定规模和占比。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第17页｜产品与收入层级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从免费测评到挑战、90天计划、会员、服务和生态形成收入阶梯。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产品、用户价值、收入与战略作用对应完整。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免费测评可能被滥用于制造焦虑，生态层不应早于供给治理。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测评提供可操作价值且不夸大；会员成立后再开放生态。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第18页｜三年平台路线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先用户资产化，再服务平台化，最后生态化。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阶段顺序合理，并明确每年暂不做什么。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“用户资产化”措辞可能造成数据所有权误解。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改为“用户关系与授权数据可信化”，并以退出权和安全为前提。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第19页｜经营仪表盘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把线索、成交、销售和复购指标升级为用户资产指标。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覆盖获客、激活、活跃、结果、推荐和LTV，经营逻辑完整。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缺少安全、投诉、人工效率、毛利和授权质量指标。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形成平衡计分卡：增长、结果、经济、信任安全四类指标同时过关。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第20页｜对外收束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把成熟课程、案例和服务升级为连接百万家庭的平台。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愿景高度与前文一致，适合品牌收尾。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“百万家庭”缺少当前基线和时间表。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对外用“逐步连接更多家庭”，对内用阶段闸门管理规模目标。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4.4 榜样科技创业合伙人股权架构设计（14页）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第01页｜股权架构封面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把股权定义为筛选、绑定和激励长期价值创造者的制度。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目的清楚，避免把股权当普遍福利。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仍应说明这是计划稿，不是授予承诺。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所有沟通标注“方案讨论稿，以正式协议与审批为准”。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第02页｜创业合伙人制度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分少数关键合伙人、多数核心骨干和4年成熟三个层次。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分层有利于控制治理复杂度。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“价值观绑定”若无明确标准，容易变成主观裁量。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成熟条件以可观察行为和岗位结果为主，价值观采用有证据的行为标准。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第03页｜四大原则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控制权、风险收益、贡献增量和分层激励构成设计原则。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框架完整，可作为后续协议评审清单。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只强调创始人控制，尚未体现激励对象的基本保护。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增加透明、公平、可理解和可执行四项参与者保护原则。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第04页｜60/20/20架构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创始团队60%、人才20%、资产与融资20%。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为控制、激励和融资预留了结构空间。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资产注入10%的估值、未来融资方式和稀释场景未说明。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先做资产估值和三轮融资情景表，再决定比例；比例不是先验答案。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第05页｜人才双轨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对比100%薪酬职业经理人与降薪换权益创业合伙人。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用风险偏好区分合作方式，避免一刀切。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本页叫双轨但下一页实际有B方案，叙事不一致；降薪需符合劳动安排。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统一为A/B/C三轨，明确自愿选择、书面说明和转换窗口。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第06页｜三方案与创业系数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用放弃现金×系数说明A、B、C风险收益差异。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公式便于沟通风险与潜在回报。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系数1/3/5缺少估值、概率、税务和稀释依据，不能直接定价。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把公式改成场景测算工具，最终授予用估值和协议确定。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第07页｜六项机制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覆盖换算、选择、成熟、持股平台、控制权和回购。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已从比例讨论进入制度设计，是正确方向。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每项仍是原则级，缺少审批主体、通知、争议和信息披露。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形成权益政策、授予通知书、平台协议和退出流程四层文件体系。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第08页｜四年成熟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设置12、24、36、48个月25%递进并叠加业绩条件。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能降低人走股留和短期套利。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“时间到了不一定成熟”若完全由董事会裁量，会削弱激励可信度。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事先写明客观业绩条件、评估周期、补救期和争议处理。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第09页｜持股平台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创始团队通过GP集中表决权，合伙人作为LP，大多数人才使用期权或虚拟股。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治理结构简洁，便于融资和工商管理。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具体载体、税负、登记、穿透和受益权需按当地规则审查。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不得把“员工原则上不直接工商登记”当作通用法律结论，先做专项设计。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第10页｜三权边界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区分经济收益、经营决策和董事权。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有助于避免授予对象误解权利内容。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单方面强调控制可能损害长期伙伴信任。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协议同步明确知情权、收益权、稀释、关联交易回避和争议救济。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第11页｜融资稀释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解释持股比例下降但权益价值可能增长。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提前进行稀释教育是必要的。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价值增长不是必然；期权池扩充、优先权和低估值融资会产生不同影响。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提供至少三种融资情景和完全摊薄口径，禁止只讲乐观结果。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第12页｜退出与回购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区分Good Leaver与Bad Leaver，并设计不同回购价格。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退出机制是激励方案可执行的核心。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“低价回购”必须有明确触发、证据、程序和适用性审查。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定义事件、通知、申辩、估值日、支付方式和争议解决，避免模糊惩罚。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第13页｜实施路线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两周定架构、四周定文件、2-3月试运行、4-12月扩展至50人。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有阶段、有样本、有扩展节奏。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50人、3000万和5-8名合伙人是未经经营计划验证的输入。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先完成资本与人才预算，再决定池子规模；法律文件进度以关键决策齐备为前提。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</w:rPr>
        <w:t>第14页｜四机制收束</w:t>
      </w:r>
    </w:p>
    <w:p>
      <w:pPr>
        <w:spacing w:before="0" w:after="160" w:line="264" w:lineRule="auto"/>
      </w:pPr>
      <w:r>
        <w:rPr>
          <w:rFonts w:ascii="Calibri" w:hAnsi="Calibri" w:eastAsia="Microsoft YaHei"/>
          <w:b/>
          <w:color w:val="2E74B5"/>
          <w:sz w:val="22"/>
        </w:rPr>
        <w:t>页面主旨：</w:t>
      </w:r>
      <w:r>
        <w:rPr>
          <w:rFonts w:ascii="Calibri" w:hAnsi="Calibri" w:eastAsia="Microsoft YaHei"/>
          <w:color w:val="172033"/>
          <w:sz w:val="22"/>
        </w:rPr>
        <w:t>用资格、成熟、回购和控制权四机制总结制度。</w:t>
      </w:r>
      <w:r>
        <w:br/>
      </w:r>
      <w:r>
        <w:rPr>
          <w:rFonts w:ascii="Calibri" w:hAnsi="Calibri" w:eastAsia="Microsoft YaHei"/>
          <w:b/>
          <w:color w:val="176B4D"/>
          <w:sz w:val="22"/>
        </w:rPr>
        <w:t>战略解读：</w:t>
      </w:r>
      <w:r>
        <w:rPr>
          <w:rFonts w:ascii="Calibri" w:hAnsi="Calibri" w:eastAsia="Microsoft YaHei"/>
          <w:color w:val="172033"/>
          <w:sz w:val="22"/>
        </w:rPr>
        <w:t>总结准确，适合成为授予沟通首页。</w:t>
      </w:r>
      <w:r>
        <w:br/>
      </w:r>
      <w:r>
        <w:rPr>
          <w:rFonts w:ascii="Calibri" w:hAnsi="Calibri" w:eastAsia="Microsoft YaHei"/>
          <w:b/>
          <w:color w:val="9A6700"/>
          <w:sz w:val="22"/>
        </w:rPr>
        <w:t>关键判断：</w:t>
      </w:r>
      <w:r>
        <w:rPr>
          <w:rFonts w:ascii="Calibri" w:hAnsi="Calibri" w:eastAsia="Microsoft YaHei"/>
          <w:color w:val="172033"/>
          <w:sz w:val="22"/>
        </w:rPr>
        <w:t>右上角存在文字重叠；且缺少税务、稀释和信息披露三项。</w:t>
      </w:r>
      <w:r>
        <w:br/>
      </w:r>
      <w:r>
        <w:rPr>
          <w:rFonts w:ascii="Calibri" w:hAnsi="Calibri" w:eastAsia="Microsoft YaHei"/>
          <w:b/>
          <w:color w:val="9B1C1C"/>
          <w:sz w:val="22"/>
        </w:rPr>
        <w:t>纲领转化：</w:t>
      </w:r>
      <w:r>
        <w:rPr>
          <w:rFonts w:ascii="Calibri" w:hAnsi="Calibri" w:eastAsia="Microsoft YaHei"/>
          <w:color w:val="172033"/>
          <w:sz w:val="22"/>
        </w:rPr>
        <w:t>修复版式，并增加税务提示、完全摊薄示例和年度权益报告。</w:t>
      </w:r>
    </w:p>
    <w:p>
      <w:pPr>
        <w:pStyle w:val="Heading1"/>
        <w:keepNext/>
        <w:pageBreakBefore/>
      </w:pPr>
      <w:r>
        <w:rPr>
          <w:rFonts w:ascii="Calibri" w:hAnsi="Calibri" w:eastAsia="Microsoft YaHei"/>
          <w:b/>
          <w:color w:val="2E74B5"/>
          <w:sz w:val="32"/>
        </w:rPr>
        <w:t>结论与管理层决策建议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9A6700"/>
                <w:sz w:val="22"/>
              </w:rPr>
              <w:t>最终判断：</w:t>
            </w:r>
            <w:r>
              <w:rPr>
                <w:rFonts w:ascii="Calibri" w:hAnsi="Calibri" w:eastAsia="Microsoft YaHei"/>
                <w:color w:val="172033"/>
                <w:sz w:val="22"/>
              </w:rPr>
              <w:t>五份材料已经形成一致的战略方向：从卖课转向经营家庭成长，从一次交易转向长期关系，从名师依赖转向标准化交付，从数据记录转向可信数据闭环，从AI概念转向场景协同，从个人激励转向制度化合伙。但项目仍处于“方向基本一致、证据和治理尚未完备”的阶段。</w:t>
            </w:r>
          </w:p>
        </w:tc>
      </w:tr>
    </w:tbl>
    <w:p>
      <w:pPr>
        <w:keepNext w:val="0"/>
        <w:spacing w:before="0" w:after="120" w:line="264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决策一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批准“家庭成长数据科技与服务平台建设者”作为内部战略定位；对外暂不宣称已经成为平台。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决策二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批准单一核心产品MVP：一个高频问题+家长训练营+AI陪练+成长报告，冻结非核心功能。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决策三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批准人机协同原则，否决无人化家庭教育服务和绝对合规承诺。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决策四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批准数据最小化、未成年人保护、人工升级和可撤回授权作为产品上线前置条件。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决策五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批准30/90/180/365天阶段闸门；100万家庭、跨赛道复制和全国扩张均须后置。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决策六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72033"/>
        </w:rPr>
        <w:t>原则同意分层人才与4年成熟机制，但所有比例、系数、持股平台和回购条款须专项审查后实施。</w:t>
      </w:r>
    </w:p>
    <w:p>
      <w:pPr>
        <w:keepNext w:val="0"/>
        <w:spacing w:before="160" w:after="0" w:line="264" w:lineRule="auto"/>
      </w:pPr>
      <w:r>
        <w:rPr>
          <w:rFonts w:ascii="Calibri" w:hAnsi="Calibri" w:eastAsia="Microsoft YaHei"/>
          <w:b/>
          <w:i w:val="0"/>
          <w:color w:val="0B2545"/>
        </w:rPr>
        <w:t>本文件建议作为下一阶段的母纲：产品PRD、交付SOP、数据治理制度、AI安全规范、合作协议、融资BP和股权激励文件都应与本纲领保持一致；出现冲突时，以“家庭真实改变、用户信任安全、可验证经营证据”三项原则为最高裁决标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657A"/>
        <w:sz w:val="17"/>
      </w:rPr>
      <w:t xml:space="preserve">内部讨论稿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5657A"/>
        <w:sz w:val="17"/>
      </w:rPr>
      <w:t>榜样教育项目纲领与材料解读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榜样教育项目纲领与五份PPT逐页解读</dc:title>
  <dc:subject>榜样教育战略、产品、数据AI、组织治理与股权机制汇总</dc:subject>
  <dc:creator>Codex</dc:creator>
  <cp:keywords>榜样教育, 家庭教育, AI成长平台, 项目纲领, 逐页解读</cp:keywords>
  <dc:description>基于五份内部PPT整理；内部讨论稿。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