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numPr>
          <w:ilvl w:val="0"/>
          <w:numId w:val="2"/>
        </w:numPr>
        <w:bidi w:val="0"/>
      </w:pPr>
      <w:r>
        <w:rPr>
          <w:rtl w:val="0"/>
        </w:rPr>
        <w:t xml:space="preserve">Разработка грамматики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Построим грамматику</w:t>
      </w:r>
      <w:r>
        <w:rPr>
          <w:rtl w:val="0"/>
        </w:rPr>
        <w:t xml:space="preserve">: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tl w:val="0"/>
          <w:lang w:val="en-US"/>
        </w:rPr>
        <w:t>Z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YZ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Z</w:t>
      </w:r>
      <w:r>
        <w:rPr>
          <w:rFonts w:ascii="Arial Unicode MS" w:hAnsi="Arial Unicode MS" w:hint="default"/>
          <w:rtl w:val="0"/>
        </w:rPr>
        <w:t xml:space="preserve"> → ε</w:t>
      </w:r>
      <w:r>
        <w:rPr>
          <w:rFonts w:ascii="Arial Unicode MS" w:hAnsi="Arial Unicode MS"/>
          <w:rtl w:val="0"/>
          <w:lang w:val="en-US"/>
        </w:rPr>
        <w:t xml:space="preserve"> 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Z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^YZ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Z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ε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Y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XY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Y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|XY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Y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ε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X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WX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X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&amp;WX</w:t>
      </w:r>
      <w:r>
        <w:rPr>
          <w:rFonts w:ascii="Arial Unicode MS" w:hAnsi="Arial Unicode MS" w:hint="default"/>
          <w:rtl w:val="0"/>
          <w:lang w:val="en-US"/>
        </w:rPr>
        <w:t>’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X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Arial Unicode MS" w:hAnsi="Arial Unicode MS" w:hint="default"/>
          <w:rtl w:val="0"/>
        </w:rPr>
        <w:t xml:space="preserve"> → ε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W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!W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W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n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W</w:t>
      </w:r>
      <w:r>
        <w:rPr>
          <w:rFonts w:ascii="Arial Unicode MS" w:hAnsi="Arial Unicode MS" w:hint="default"/>
          <w:rtl w:val="0"/>
        </w:rPr>
        <w:t xml:space="preserve"> → </w:t>
      </w:r>
      <w:r>
        <w:rPr>
          <w:rFonts w:ascii="Arial Unicode MS" w:hAnsi="Arial Unicode MS"/>
          <w:rtl w:val="0"/>
          <w:lang w:val="en-US"/>
        </w:rPr>
        <w:t>(Z)</w:t>
      </w:r>
    </w:p>
    <w:p>
      <w:pPr>
        <w:pStyle w:val="Текстовый блок"/>
        <w:bidi w:val="0"/>
        <w:ind w:left="720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</w:rPr>
        <w:br w:type="textWrapping"/>
      </w:r>
    </w:p>
    <w:tbl>
      <w:tblPr>
        <w:tblW w:w="963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1418"/>
        <w:gridCol w:w="8219"/>
      </w:tblGrid>
      <w:tr>
        <w:tblPrEx>
          <w:shd w:val="clear" w:color="auto" w:fill="auto"/>
        </w:tblPrEx>
        <w:trPr>
          <w:trHeight w:val="242" w:hRule="atLeast"/>
          <w:tblHeader/>
        </w:trPr>
        <w:tc>
          <w:tcPr>
            <w:tcW w:type="dxa" w:w="141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Нетерминал</w:t>
            </w:r>
          </w:p>
        </w:tc>
        <w:tc>
          <w:tcPr>
            <w:tcW w:type="dxa" w:w="821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single" w:color="000000" w:sz="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</w:t>
            </w:r>
          </w:p>
        </w:tc>
        <w:tc>
          <w:tcPr>
            <w:tcW w:type="dxa" w:w="8218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Правильное логическое выражение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Продолжение правильного логического выражения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Правильное логическое выражение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Продолжение правильного логического выражения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Правильное логическое выражение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Продолжение правильного логического выражения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18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</w:t>
            </w:r>
          </w:p>
        </w:tc>
        <w:tc>
          <w:tcPr>
            <w:tcW w:type="dxa" w:w="8218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Правильное логическое выражение</w:t>
            </w:r>
          </w:p>
        </w:tc>
      </w:tr>
    </w:tbl>
    <w:p>
      <w:pPr>
        <w:pStyle w:val="Текстовый блок"/>
        <w:bidi w:val="0"/>
        <w:rPr>
          <w:rFonts w:ascii="Arial Unicode MS" w:cs="Arial Unicode MS" w:hAnsi="Arial Unicode MS" w:eastAsia="Arial Unicode MS"/>
        </w:rPr>
      </w:pPr>
    </w:p>
    <w:p>
      <w:pPr>
        <w:pStyle w:val="Текстовый блок"/>
        <w:bidi w:val="0"/>
        <w:rPr>
          <w:rFonts w:ascii="Arial Unicode MS" w:cs="Arial Unicode MS" w:hAnsi="Arial Unicode MS" w:eastAsia="Arial Unicode MS"/>
        </w:rPr>
      </w:pPr>
    </w:p>
    <w:p>
      <w:pPr>
        <w:pStyle w:val="Текстовый блок"/>
        <w:bidi w:val="0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ru-RU"/>
        </w:rPr>
        <w:t>В грамматике отсутствует левая рекурсия и правое ветвление</w:t>
      </w:r>
      <w:r>
        <w:rPr>
          <w:rFonts w:ascii="Arial Unicode MS" w:hAnsi="Arial Unicode MS"/>
          <w:rtl w:val="0"/>
          <w:lang w:val="ru-RU"/>
        </w:rPr>
        <w:t>.</w:t>
      </w:r>
    </w:p>
    <w:p>
      <w:pPr>
        <w:pStyle w:val="Текстовый блок"/>
        <w:bidi w:val="0"/>
        <w:rPr>
          <w:rFonts w:ascii="Arial Unicode MS" w:cs="Arial Unicode MS" w:hAnsi="Arial Unicode MS" w:eastAsia="Arial Unicode MS"/>
        </w:rPr>
      </w:pPr>
    </w:p>
    <w:p>
      <w:pPr>
        <w:pStyle w:val="Заголовок"/>
        <w:numPr>
          <w:ilvl w:val="0"/>
          <w:numId w:val="2"/>
        </w:numPr>
        <w:bidi w:val="0"/>
      </w:pPr>
      <w:r>
        <w:rPr>
          <w:rtl w:val="0"/>
        </w:rPr>
        <w:t>Построение лексического анализатора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"/>
        <w:numPr>
          <w:ilvl w:val="0"/>
          <w:numId w:val="2"/>
        </w:numPr>
        <w:bidi w:val="0"/>
      </w:pPr>
      <w:r>
        <w:rPr>
          <w:rtl w:val="0"/>
        </w:rPr>
        <w:t xml:space="preserve">Построение синтаксического анализатора </w:t>
      </w:r>
    </w:p>
    <w:p>
      <w:pPr>
        <w:pStyle w:val="Текстовый блок"/>
        <w:bidi w:val="0"/>
      </w:pPr>
      <w:r>
        <w:rPr>
          <w:rtl w:val="0"/>
        </w:rPr>
        <w:t xml:space="preserve">Построим множества </w:t>
      </w:r>
      <w:r>
        <w:rPr>
          <w:rtl w:val="0"/>
          <w:lang w:val="en-US"/>
        </w:rPr>
        <w:t xml:space="preserve">FIRST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FOLLOW </w:t>
      </w:r>
      <w:r>
        <w:rPr>
          <w:rtl w:val="0"/>
        </w:rPr>
        <w:t>для нетерминалов нашей грамматики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tbl>
      <w:tblPr>
        <w:tblW w:w="963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1490"/>
        <w:gridCol w:w="3711"/>
        <w:gridCol w:w="4436"/>
      </w:tblGrid>
      <w:tr>
        <w:tblPrEx>
          <w:shd w:val="clear" w:color="auto" w:fill="auto"/>
        </w:tblPrEx>
        <w:trPr>
          <w:trHeight w:val="242" w:hRule="atLeast"/>
          <w:tblHeader/>
        </w:trPr>
        <w:tc>
          <w:tcPr>
            <w:tcW w:type="dxa" w:w="14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Нетерминал</w:t>
            </w:r>
          </w:p>
        </w:tc>
        <w:tc>
          <w:tcPr>
            <w:tcW w:type="dxa" w:w="371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</w:t>
            </w:r>
          </w:p>
        </w:tc>
        <w:tc>
          <w:tcPr>
            <w:tcW w:type="dxa" w:w="443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FOLLOW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490"/>
            <w:tcBorders>
              <w:top w:val="single" w:color="000000" w:sz="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</w:t>
            </w:r>
          </w:p>
        </w:tc>
        <w:tc>
          <w:tcPr>
            <w:tcW w:type="dxa" w:w="3710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</w:rPr>
              <w:t xml:space="preserve">!, n, (,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$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^,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$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!</w:t>
            </w:r>
            <w:r>
              <w:rPr>
                <w:rFonts w:cs="Arial Unicode MS" w:eastAsia="Arial Unicode MS"/>
                <w:rtl w:val="0"/>
              </w:rPr>
              <w:t>, n, (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^, $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|,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$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!</w:t>
            </w:r>
            <w:r>
              <w:rPr>
                <w:rFonts w:cs="Arial Unicode MS" w:eastAsia="Arial Unicode MS"/>
                <w:rtl w:val="0"/>
              </w:rPr>
              <w:t>, n, (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|, ^, $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&amp;, </w:t>
            </w:r>
            <w:r>
              <w:rPr>
                <w:rFonts w:ascii="Arial Unicode MS" w:hAnsi="Arial Unicode MS" w:hint="default"/>
                <w:rtl w:val="0"/>
              </w:rPr>
              <w:t>ε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$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490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</w:t>
            </w:r>
          </w:p>
        </w:tc>
        <w:tc>
          <w:tcPr>
            <w:tcW w:type="dxa" w:w="371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!, n, (</w:t>
            </w:r>
          </w:p>
        </w:tc>
        <w:tc>
          <w:tcPr>
            <w:tcW w:type="dxa" w:w="4436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), &amp;, |, ^, $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Заголовок"/>
        <w:numPr>
          <w:ilvl w:val="0"/>
          <w:numId w:val="2"/>
        </w:numPr>
        <w:bidi w:val="0"/>
      </w:pPr>
      <w:r>
        <w:rPr>
          <w:rtl w:val="0"/>
        </w:rPr>
        <w:t>Визуализация дерева разбора</w:t>
      </w:r>
    </w:p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