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Predicting Electoral Democracy with Corruption, Political Violence, and Region</w:t>
      </w:r>
    </w:p>
    <w:tbl>
      <w:tblPr>
        <w:tblStyle w:val="Table"/>
        <w:tblW w:type="pct" w:w="4236"/>
        <w:tblLayout w:type="fixed"/>
        <w:tblLook w:firstRow="1" w:lastRow="1" w:firstColumn="0" w:lastColumn="0" w:noHBand="0" w:noVBand="0" w:val="0020"/>
        <w:tblCaption w:val="Predicting Electoral Democracy with Corruption, Political Violence, and Region"/>
      </w:tblPr>
      <w:tblGrid>
        <w:gridCol w:w="3300"/>
        <w:gridCol w:w="198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Just 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Corruption Perception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-0.090**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0.108*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0.145***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OLS coefficients with standard errors in parentheses.</w:t>
            </w:r>
            <w:r>
              <w:t xml:space="preserve"> </w:t>
            </w:r>
            <w:r>
              <w:t xml:space="preserve">Reference group for region = Africa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2025-07-30T15:18:11Z</dcterms:created>
  <dcterms:modified xsi:type="dcterms:W3CDTF">2025-07-30T15:18:11Z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