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Predicting Electoral Democracy with Corruption, Political Violence, and Region</w:t>
      </w:r>
    </w:p>
    <w:tbl>
      <w:tblPr>
        <w:tblStyle w:val="Table"/>
        <w:tblW w:type="pct" w:w="4236"/>
        <w:tblLook w:firstRow="1" w:lastRow="1" w:firstColumn="0" w:lastColumn="0" w:noHBand="0" w:noVBand="0" w:val="0020"/>
        <w:jc w:val="start"/>
        <w:tblCaption w:val="Predicting Electoral Democracy with Corruption, Political Violence, and Region"/>
      </w:tblPr>
      <w:tblGrid>
        <w:gridCol w:w="3300"/>
        <w:gridCol w:w="1980"/>
        <w:gridCol w:w="143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Just Corruption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Corruption Perception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Political Violence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-0.090**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0.108*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0.145***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0.546</w:t>
            </w:r>
          </w:p>
        </w:tc>
      </w:tr>
      <w:tr>
        <w:tc>
          <w:tcPr>
            <w:gridSpan w:val="3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OLS coefficients with standard errors in parentheses.</w:t>
            </w:r>
            <w:r>
              <w:t xml:space="preserve"> </w:t>
            </w:r>
            <w:r>
              <w:t xml:space="preserve">Reference group for region = Africa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2024-08-15T13:42:11Z</dcterms:created>
  <dcterms:modified xsi:type="dcterms:W3CDTF">2024-08-15T13:42:11Z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