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Relationship between Main Continuous Variables</w:t>
      </w:r>
    </w:p>
    <w:tbl>
      <w:tblPr>
        <w:tblStyle w:val="Table"/>
        <w:tblW w:type="pct" w:w="4803"/>
        <w:tblLayout w:type="fixed"/>
        <w:tblLook w:firstRow="1" w:lastRow="0" w:firstColumn="0" w:lastColumn="0" w:noHBand="0" w:noVBand="0" w:val="0020"/>
        <w:tblCaption w:val="Relationship between Main Continuous Variables"/>
      </w:tblPr>
      <w:tblGrid>
        <w:gridCol w:w="1875"/>
        <w:gridCol w:w="1875"/>
        <w:gridCol w:w="1875"/>
        <w:gridCol w:w="1354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Elec. Democracy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 Inequality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2025-09-30T15:53:38Z</dcterms:created>
  <dcterms:modified xsi:type="dcterms:W3CDTF">2025-09-30T15:53:38Z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