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Predicting Electoral Democracy with Corruption, Political Violence, and Region</w:t>
      </w:r>
    </w:p>
    <w:tbl>
      <w:tblPr>
        <w:tblStyle w:val="Table"/>
        <w:tblW w:type="pct" w:w="4236"/>
        <w:tblLayout w:type="fixed"/>
        <w:tblLook w:firstRow="1" w:lastRow="1" w:firstColumn="0" w:lastColumn="0" w:noHBand="0" w:noVBand="0" w:val="0020"/>
        <w:tblCaption w:val="Predicting Electoral Democracy with Corruption, Political Violence, and Region"/>
      </w:tblPr>
      <w:tblGrid>
        <w:gridCol w:w="3300"/>
        <w:gridCol w:w="198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Just Corruption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Corruption Perception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-0.090**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0.108*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Americas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0.145***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0.546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3"/>
          </w:tcPr>
          <w:p>
            <w:pPr>
              <w:pStyle w:val="Compact"/>
              <w:jc w:val="left"/>
            </w:pPr>
            <w:r>
              <w:t xml:space="preserve">OLS coefficients with standard errors in parentheses.</w:t>
            </w:r>
            <w:r>
              <w:t xml:space="preserve"> </w:t>
            </w:r>
            <w:r>
              <w:t xml:space="preserve">Reference group for region = Africa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2025-09-30T15:53:39Z</dcterms:created>
  <dcterms:modified xsi:type="dcterms:W3CDTF">2025-09-30T15:53:39Z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