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Predicting Electoral Democracy with Corruption, Political Violence, and Region</w:t>
      </w:r>
    </w:p>
    <w:tbl>
      <w:tblPr>
        <w:tblStyle w:val="Table"/>
        <w:tblW w:type="pct" w:w="4236"/>
        <w:tblLayout w:type="fixed"/>
        <w:tblLook w:firstRow="1" w:lastRow="1" w:firstColumn="0" w:lastColumn="0" w:noHBand="0" w:noVBand="0" w:val="0020"/>
        <w:tblCaption w:val="Predicting Electoral Democracy with Corruption, Political Violence, and Region"/>
      </w:tblPr>
      <w:tblGrid>
        <w:gridCol w:w="3300"/>
        <w:gridCol w:w="198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Just 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Corruption Perception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-0.090**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0.108*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0.145***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0.546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OLS coefficients with standard errors in parentheses.</w:t>
            </w:r>
            <w:r>
              <w:t xml:space="preserve"> </w:t>
            </w:r>
            <w:r>
              <w:t xml:space="preserve">Reference group for region = Africa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2025-08-13T09:38:10Z</dcterms:created>
  <dcterms:modified xsi:type="dcterms:W3CDTF">2025-08-13T09:38:10Z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