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Electorale democratie voorspeld door corruptie, politiek geweld en regio</w:t>
      </w:r>
    </w:p>
    <w:tbl>
      <w:tblPr>
        <w:tblStyle w:val="Table"/>
        <w:tblW w:type="pct" w:w="4444"/>
        <w:tblLayout w:type="fixed"/>
        <w:tblLook w:firstRow="1" w:lastRow="1" w:firstColumn="0" w:lastColumn="0" w:noHBand="0" w:noVBand="0" w:val="0020"/>
        <w:tblCaption w:val="Electorale democratie voorspeld door corruptie, politiek geweld en regio"/>
      </w:tblPr>
      <w:tblGrid>
        <w:gridCol w:w="2970"/>
        <w:gridCol w:w="198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Enkel 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predictoren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Corruptieperceptie-index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Politiek geweld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regionAzië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regionEuropa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regionAmerika’s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Lineaire regressiecoëfficiënten met standaardfouten tussen</w:t>
            </w:r>
            <w:r>
              <w:t xml:space="preserve"> </w:t>
            </w:r>
            <w:r>
              <w:t xml:space="preserve">haakjes. Referentiegroep regio = Afrika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2025-08-01T12:50:46Z</dcterms:created>
  <dcterms:modified xsi:type="dcterms:W3CDTF">2025-08-01T12:50:46Z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