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3"/>
        <w:tblLayout w:type="fixed"/>
        <w:tblLook w:firstRow="1" w:lastRow="0" w:firstColumn="0" w:lastColumn="0" w:noHBand="0" w:noVBand="0" w:val="0020"/>
      </w:tblPr>
      <w:tblGrid>
        <w:gridCol w:w="3590"/>
        <w:gridCol w:w="844"/>
        <w:gridCol w:w="739"/>
        <w:gridCol w:w="844"/>
        <w:gridCol w:w="844"/>
        <w:gridCol w:w="63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Polyarchiescore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Economische ongelijkheid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Autocratie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Democratie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Liberale democratie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Electorale democratie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Autocratie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2025-06-27T08:57:40Z</dcterms:created>
  <dcterms:modified xsi:type="dcterms:W3CDTF">2025-06-27T08:57:40Z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