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Electorale democratie voorspeld door corruptie, politiek geweld en regio</w:t>
      </w:r>
    </w:p>
    <w:tbl>
      <w:tblPr>
        <w:tblStyle w:val="Table"/>
        <w:tblW w:type="pct" w:w="4444"/>
        <w:tblLayout w:type="fixed"/>
        <w:tblLook w:firstRow="1" w:lastRow="1" w:firstColumn="0" w:lastColumn="0" w:noHBand="0" w:noVBand="0" w:val="0020"/>
        <w:tblCaption w:val="Electorale democratie voorspeld door corruptie, politiek geweld en regio"/>
      </w:tblPr>
      <w:tblGrid>
        <w:gridCol w:w="2970"/>
        <w:gridCol w:w="198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Enkel 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predictoren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Corruptieperceptie-index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Politiek geweld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regionAzië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regionEuropa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regionAmerika’s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Lineaire regressiecoëfficiënten met standaardfouten tussen</w:t>
            </w:r>
            <w:r>
              <w:t xml:space="preserve"> </w:t>
            </w:r>
            <w:r>
              <w:t xml:space="preserve">haakjes. Referentiegroep regio = Afrika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2025-06-27T09:09:19Z</dcterms:created>
  <dcterms:modified xsi:type="dcterms:W3CDTF">2025-06-27T09:09:19Z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