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Relatie continue variabelen</w:t>
      </w:r>
    </w:p>
    <w:tbl>
      <w:tblPr>
        <w:tblStyle w:val="Table"/>
        <w:tblW w:type="pct" w:w="4914"/>
        <w:tblLayout w:type="fixed"/>
        <w:tblLook w:firstRow="1" w:lastRow="0" w:firstColumn="0" w:lastColumn="0" w:noHBand="0" w:noVBand="0" w:val="0020"/>
        <w:tblCaption w:val="Relatie continue variabelen"/>
      </w:tblPr>
      <w:tblGrid>
        <w:gridCol w:w="2457"/>
        <w:gridCol w:w="1092"/>
        <w:gridCol w:w="1228"/>
        <w:gridCol w:w="546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Electorale democratie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Economische ongelijkheid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Electorale democratie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Economische ongelijkheid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2025-06-27T09:18:25Z</dcterms:created>
  <dcterms:modified xsi:type="dcterms:W3CDTF">2025-06-27T09:18:25Z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