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733"/>
        <w:tblLook w:firstRow="1" w:lastRow="0" w:firstColumn="0" w:lastColumn="0" w:noHBand="0" w:noVBand="0" w:val="0020"/>
        <w:jc w:val="start"/>
        <w:tblLayout w:type="fixed"/>
      </w:tblPr>
      <w:tblGrid>
        <w:gridCol w:w="3590"/>
        <w:gridCol w:w="844"/>
        <w:gridCol w:w="739"/>
        <w:gridCol w:w="844"/>
        <w:gridCol w:w="844"/>
        <w:gridCol w:w="633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Polyarchiescore (2020)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Economische ongelijkheid (2019)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Autocratie in 1984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Democratie in 1984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Liberale democratie (2006)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Electorale democratie (2006)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Autocratie (2006)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2025-06-22T11:51:07Z</dcterms:created>
  <dcterms:modified xsi:type="dcterms:W3CDTF">2025-06-22T11:51:07Z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