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2019 / 2020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, 1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0 лет.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