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6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1"/>
        <w:gridCol w:w="2270"/>
        <w:gridCol w:w="2272"/>
        <w:gridCol w:w="2271"/>
        <w:gridCol w:w="2270"/>
        <w:gridCol w:w="2271"/>
      </w:tblGrid>
      <w:tr>
        <w:trPr/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  <w:sz w:val="20"/>
              </w:rPr>
              <w:t>Status</w:t>
            </w:r>
            <w:r>
              <w:rPr>
                <w:rFonts w:ascii="Georgia" w:hAnsi="Georgia"/>
                <w:b/>
                <w:bCs/>
                <w:i/>
                <w:iCs/>
                <w:color w:val="DDDDDD"/>
                <w:sz w:val="20"/>
              </w:rPr>
              <w:t>//</w:t>
            </w:r>
            <w:r>
              <w:rPr>
                <w:rFonts w:ascii="Georgia" w:hAnsi="Georgia"/>
                <w:b/>
                <w:bCs/>
                <w:color w:val="FF0000"/>
                <w:sz w:val="20"/>
              </w:rPr>
              <w:t>COMMAND</w:t>
            </w:r>
          </w:p>
        </w:tc>
        <w:tc>
          <w:tcPr>
            <w:tcW w:w="22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</w:t>
            </w:r>
          </w:p>
        </w:tc>
        <w:tc>
          <w:tcPr>
            <w:tcW w:w="227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PAUSE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</w:t>
            </w:r>
          </w:p>
        </w:tc>
        <w:tc>
          <w:tcPr>
            <w:tcW w:w="22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 QUEUE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 QUEUE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Ready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0" w:type="dxa"/>
            <w:vMerge w:val="restart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 queue</w:t>
            </w:r>
            <w:r>
              <w:rPr>
                <w:rFonts w:ascii="Georgia" w:hAnsi="Georgia"/>
                <w:sz w:val="18"/>
                <w:szCs w:val="18"/>
              </w:rPr>
              <w:t xml:space="preserve">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don’t touch items not in queue</w:t>
            </w:r>
          </w:p>
        </w:tc>
        <w:tc>
          <w:tcPr>
            <w:tcW w:w="2271" w:type="dxa"/>
            <w:vMerge w:val="restart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Stop queue</w:t>
            </w:r>
            <w:r>
              <w:rPr>
                <w:rFonts w:ascii="Georgia" w:hAnsi="Georgia"/>
                <w:sz w:val="18"/>
                <w:szCs w:val="18"/>
              </w:rPr>
              <w:t xml:space="preserve">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pause downloading items started as part of queue </w:t>
            </w:r>
            <w:r>
              <w:rPr>
                <w:rFonts w:ascii="Georgia" w:hAnsi="Georgia"/>
                <w:sz w:val="18"/>
                <w:szCs w:val="18"/>
              </w:rPr>
              <w:t>and add them back to the queue;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don’t touch items not in queue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Queued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Start queue </w:t>
            </w:r>
            <w:r>
              <w:rPr>
                <w:rFonts w:ascii="Georgia" w:hAnsi="Georgia"/>
                <w:sz w:val="18"/>
                <w:szCs w:val="18"/>
              </w:rPr>
              <w:t xml:space="preserve">with this as first item;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don’t touch items not in queue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Downloading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Pause</w:t>
            </w:r>
            <w:r>
              <w:rPr>
                <w:rFonts w:ascii="Georgia" w:hAnsi="Georgia"/>
                <w:sz w:val="18"/>
                <w:szCs w:val="18"/>
              </w:rPr>
              <w:t xml:space="preserve"> downloading;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if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was in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 xml:space="preserve">,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u w:val="none"/>
                <w:lang w:val="en-AU" w:eastAsia="zh-CN" w:bidi="hi-IN"/>
              </w:rPr>
              <w:t>keep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 xml:space="preserve"> processing queue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if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was in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>, stop queue</w:t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Paused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Finished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Error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Important:</w:t>
      </w:r>
      <w:r>
        <w:rPr>
          <w:b w:val="false"/>
          <w:bCs w:val="false"/>
          <w:i/>
          <w:iCs/>
        </w:rPr>
        <w:t xml:space="preserve"> When an item is taken out of queue for </w:t>
      </w: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downloading</w:t>
      </w:r>
      <w:r>
        <w:rPr>
          <w:b w:val="false"/>
          <w:bCs w:val="false"/>
          <w:i/>
          <w:iCs/>
        </w:rPr>
        <w:t>, it is no longer part of the queue “list”.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LibreOffice/6.4.4.2$Windows_X86_64 LibreOffice_project/3d775be2011f3886db32dfd395a6a6d1ca2630ff</Application>
  <Pages>1</Pages>
  <Words>103</Words>
  <Characters>520</Characters>
  <CharactersWithSpaces>600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2020-07-11T23:22:48Z</dcterms:created>
  <dc:creator/>
  <dc:description/>
  <dc:language>en-AU</dc:language>
  <cp:lastModifiedBy/>
  <dcterms:modified xsi:type="dcterms:W3CDTF">2020-07-12T10:54:56Z</dcterms:modified>
  <cp:revision>19</cp:revision>
  <dc:subject/>
  <dc:title/>
</cp:coreProperties>
</file>