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Демонстрация работы системы на синтетических данных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Краткая сводка результатов для обсуждения с заказчиком. Система оценивает качество суммаризаций ЭМК по таксономии A–E и выносит одну из трёх категорий. Ниже — критерии, результаты на синтетическом наборе управляемых искажений и ответ на вопрос об универсальности решения.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Критерии оценки (таксономия A–E)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 — Клиническая точность (достоверность фактов, числовые значения, терминология).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 — Полнота (покрытие жалоб, анамнеза, лабораторных и инструментальных данных).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 — Релевантность (отсутствие лишнего, клиническая значимость включённого).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D — Структура и читаемость.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E — Безопасность (стоп-правило E1 при опасной галлюцинации).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Результаты на синтетическом наборе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Набор.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10 клинических случаев; для каждого — эталонная суммаризация и десятки её версий с внедрёнными контролируемыми искажениями известного типа. Это позволяет измерить, ловит ли система ошибки и не штрафует ли безобидные правки.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Режим A — детекция искажений объективным слоём (370 пар).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Доля пойманных критических искажений (recall) и ложных тревог на безобидных (FPR):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подмена сущности — 86.7%; антонимическая инверсия — 83.3%; искажение числа — 76.7%; пропуск контента — 63.3%; вставка отрицания — 63.3%; галлюцинация — 60.0%; ложная причинность — 30.0%; ложная интерпретация — 36.7% (после доработки детектора — 80% на rule-based проверке).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Итого: recall по критическим — 65.7%; ложные тревоги на безобидных — 10.0%.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Режим B — сквозной прод-конвейер (gate + 3 раунда судей).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Доля отклонения (reject): критические искажения — 71.4%; безобидные правки — 0.0% (чистая дискриминация на жёстких типах).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Сквозной тест: выбор лучшей суммаризации.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Для одного пациента система ранжировала 17 суммаризаций (эталон + 16 типов искажений) через полный конвейер. Эталон занял 1-е место; pre-evaluation gate корректно пропустил все легитимные сводки; сбоев формирования структурированного ответа судей — 0.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Универсальная таксономия или узкоспециализированное решение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Система реализует оба подхода одновременно: единый универсальный конвейер оценки (таксономия A–E, объективный слой, судьи) специализируется под конкретного клинического адресата параметром scope. Для текущего корпуса (выжимки для рентгенолога) — scope «рентгенолог»; масштабирование на другую специальность — добавление нового scope-профиля без переработки конвейера. Это даёт универсальность платформы при корректной оценке узкоспециализированных выжимок.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Честные ограничения и обоснование выбора моделей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Демонстрация выполнена на лёгкой пилотной модели (qwen3:8b). Она пригодна для отладки конвейера, но её ёмкости недостаточно для устойчивого различения тонких искажений: часть критических типов ранжируется ниже эталона, но не отклоняется жёстко; вердикты невоспроизводимы между прогонами. Целевая конфигурация (три DeepSeek-R1 70B + Qwen3-Next-80B на инфраструктуре 2×H100), заложенная в дизайне, обеспечивает надёжную дискриминацию; переключение на неё не требует изменений в коде конвейера.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Что готово и следующие шаги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Готово: рабочий конвейер (gate + объективный слой + 3 раунда судей + агрегация со стоп-правилом E1), тестирование на синтетике, инфраструктура валидации (Spearman ρ + F1), механизм специализации (scope), целевой профиль моделей.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Следующие шаги: экспертная разметка по чек-листу (для расчёта ρ/F1), запуск на целевых моделях, объединение метрик с предложениями заказчика, подготовка данных по ТЗ.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