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Техническое задание на подготовку данных и экспертную разметку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Документ определяет требования к набору данных, объёмам выборок, распределению по клиническим направлениям и порядку экспертной разметки для валидации системы автоматизированной оценки качества суммаризаций ЭМК. Составлено на основе дизайна исследования (разделы 4–8).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1. Назначение и предмет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Предмет — подготовка двух наборов данных и сопровождающей экспертной разметки: (а) валидационного подмножества для калибровки автоматических метрик на текущем этапе; (б) расширенного датасета для проспективного пилотного исследования. Цель — установить согласованность автоматической оценки с экспертной и пороговые значения метрик.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2. Требования к данным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Валидация метрик (текущий этап):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не менее 50 суммаризаций с полной экспертной разметкой по чек-листу A–E (этого минимума достаточно для расчёта Spearman ρ и F1 по блокам).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Пилотное исследование: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не менее 200 ЭМК реальных обезличенных пациентов медицинских организаций (точный объём уточняется расчётом мощности после получения основного датасета).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Критерии включения: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наличие данных ЭМК; направление на инструментальное исследование в период пилота.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Критерии исключения: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объём ЭМК менее 500 слов (недостаточно данных для суммаризации); пациенты в острых жизнеугрожающих состояниях.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3. Объёмы выборок и стратификация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Выборка стратифицируется по следующим осям (для обеспечения репрезентативности и проверки универсальности системы):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нозологическая группа;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клиническая специальность (направление);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возрастная группа пациента;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сложность случая (число сопутствующих заболеваний).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4. Распределение по клиническим направлениям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Система спроектирована как универсальная платформа: единый конвейер оценки адаптируется под адресата суммаризации параметром scope (например, «рентгенолог» — для описания КТ органов брюшной полости). Для каждого клинического направления, включаемого в выборку, заказчику необходимо указать: целевого адресата суммаризации и перечень клинически значимых для него категорий сведений. Это позволяет настроить scope-фильтр релевантности под каждое направление без переработки конвейера.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5. Экспертная разметка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Каждую пару независимо оценивают не менее трёх врачей профильных специальностей; при расхождении применяется процедура достижения консенсуса.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Инструмент разметки — чек-лист экспертной оценки (отдельный документ): бинарная оценка подкритериев A1–E3, 5-балльная шкала Ликерта по блокам, Global Quality Score (10 баллов) и Clinical Usefulness Score.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Идентификация пары — обязательно в виде «emr_id__model_id» (например, EMR_10__2); итоговая категория — одной из трёх строк («Готово к клиническому применению» / «Требует редактирования» / «Неприемлемо»).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Результаты сводятся в единый файл Excel/CSV (case_id, Категория, при наличии Балл) для машинной сверки с автоматической оценкой.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6. Анонимизация и конфиденциальность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Удаление прямых идентификаторов (ФИО, даты рождения, адреса, номера полиса); замена косвенных идентификаторов синтетическими значениями.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Все данные обрабатываются в соответствии с 152-ФЗ «О персональных данных», 323-ФЗ, требованиями Росздравнадзора и приказами ФСТЭК России; локальное изолированное развёртывание без доступа к внешним сетям.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Работа на текущем этапе ведётся только с анонимизированными и/или синтетическими данными.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7. Конечные точки и пороговые значения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Согласованность автоматической оценки с экспертной: Spearman ρ ≥ 0.75 на подмножестве ≥ 50 суммаризаций.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Точность pre-evaluation gate: F1-score ≥ 0.90 на аннотированном подмножестве.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Доля суммаризаций категории «Готово к клиническому применению» ≥ 70%.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Доля суммаризаций без ошибок E1 ≥ 99%.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8. Порядок передачи материалов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Передача датасета, файлов экспертной разметки и сопроводительных материалов осуществляется через координатора (Дмитрия). Форматы: ЭМК и суммаризации — таблица Excel со столбцами emr_id, model_id, source_text, summary_text; экспертная разметка — Excel/CSV с идентификатором пары и оценками.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