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699FB527" w:rsidR="00EB0FEA" w:rsidRPr="00EB0FEA" w:rsidRDefault="00EB0FEA" w:rsidP="00C467DB">
            <w:proofErr w:type="spellStart"/>
            <w:r w:rsidRPr="00EB0FEA">
              <w:t>Кадастральный</w:t>
            </w:r>
            <w:proofErr w:type="spellEnd"/>
            <w:r w:rsidRPr="00EB0FEA">
              <w:t xml:space="preserve">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B7BF1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72B1CFBB" w14:textId="77777777" w:rsidR="00FC3A65" w:rsidRPr="003422C7" w:rsidRDefault="00FC3A65" w:rsidP="00FC3A65"/>
    <w:p w14:paraId="58814156" w14:textId="3265515D" w:rsidR="00452EB8" w:rsidRPr="00FF47C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lastRenderedPageBreak/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06078763" w14:textId="396D0BF3" w:rsidR="007505C8" w:rsidRDefault="007505C8" w:rsidP="007505C8"/>
    <w:p w14:paraId="7A491036" w14:textId="77777777" w:rsidR="00EB7BF1" w:rsidRDefault="00EB7BF1" w:rsidP="00EB7BF1">
      <w:pPr>
        <w:jc w:val="center"/>
        <w:rPr>
          <w:b/>
          <w:bCs/>
        </w:rPr>
      </w:pPr>
    </w:p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066A8FB" w:rsidR="00362BA5" w:rsidRDefault="00362BA5" w:rsidP="00362BA5"/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lastRenderedPageBreak/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5413B0FA" w:rsidR="00B27156" w:rsidRDefault="00B27156" w:rsidP="00CB7D51">
            <w:proofErr w:type="spellStart"/>
            <w:r>
              <w:t>Кадастральный</w:t>
            </w:r>
            <w:proofErr w:type="spellEnd"/>
            <w:r>
              <w:t xml:space="preserve">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8D9A61F" w:rsidR="00B27156" w:rsidRDefault="00E13DE5" w:rsidP="00CB7D51">
            <w:r>
              <w:t>Фамилия владельца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E402FBA" w:rsidR="00B27156" w:rsidRDefault="00E13DE5" w:rsidP="00CB7D51">
            <w:r>
              <w:t>Имя владельца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060E933C" w:rsidR="00E13DE5" w:rsidRDefault="00E13DE5" w:rsidP="00CB7D51">
            <w:r>
              <w:t>Номер телефона владельца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 xml:space="preserve">Статус </w:t>
            </w:r>
            <w:proofErr w:type="gramStart"/>
            <w:r>
              <w:t>участка(</w:t>
            </w:r>
            <w:proofErr w:type="gramEnd"/>
            <w:r>
              <w:t>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C4642"/>
    <w:rsid w:val="001200AF"/>
    <w:rsid w:val="001927A7"/>
    <w:rsid w:val="00225783"/>
    <w:rsid w:val="00282F12"/>
    <w:rsid w:val="003422C7"/>
    <w:rsid w:val="00362BA5"/>
    <w:rsid w:val="00386B3C"/>
    <w:rsid w:val="003C5E8A"/>
    <w:rsid w:val="00452EB8"/>
    <w:rsid w:val="00616009"/>
    <w:rsid w:val="006B34D5"/>
    <w:rsid w:val="00726AB5"/>
    <w:rsid w:val="007272A5"/>
    <w:rsid w:val="007505C8"/>
    <w:rsid w:val="00765866"/>
    <w:rsid w:val="00873D1C"/>
    <w:rsid w:val="00A46A19"/>
    <w:rsid w:val="00B27156"/>
    <w:rsid w:val="00BC5F58"/>
    <w:rsid w:val="00BF0B31"/>
    <w:rsid w:val="00C467DB"/>
    <w:rsid w:val="00CB7D51"/>
    <w:rsid w:val="00CC0DF8"/>
    <w:rsid w:val="00CF4951"/>
    <w:rsid w:val="00D33B26"/>
    <w:rsid w:val="00DE6C32"/>
    <w:rsid w:val="00E13DE5"/>
    <w:rsid w:val="00E27326"/>
    <w:rsid w:val="00EB0FEA"/>
    <w:rsid w:val="00EB7BF1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dcterms:created xsi:type="dcterms:W3CDTF">2024-02-21T08:46:00Z</dcterms:created>
  <dcterms:modified xsi:type="dcterms:W3CDTF">2024-03-21T08:28:00Z</dcterms:modified>
</cp:coreProperties>
</file>