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B72488" w14:textId="40C8F166" w:rsidR="00F5095F" w:rsidRDefault="00863B8C" w:rsidP="00F5095F">
      <w:r>
        <w:t>Te recordaré cómo d</w:t>
      </w:r>
      <w:r w:rsidR="00F5095F">
        <w:t xml:space="preserve">ebes hacer todos los sumarios jurisprudenciales de las sentencias que te envíe, con sus respectivas voces conforme el Sistema de Jurisprudencia Argentino (SAIJ </w:t>
      </w:r>
      <w:hyperlink r:id="rId4" w:history="1">
        <w:r w:rsidR="00F5095F" w:rsidRPr="00955CB1">
          <w:rPr>
            <w:rStyle w:val="Hipervnculo"/>
          </w:rPr>
          <w:t>https://www.saij.gob.ar/</w:t>
        </w:r>
      </w:hyperlink>
      <w:r w:rsidR="00F5095F">
        <w:t xml:space="preserve"> )</w:t>
      </w:r>
    </w:p>
    <w:p w14:paraId="64F076F9" w14:textId="4C6AACF5" w:rsidR="00227463" w:rsidRDefault="00227463" w:rsidP="00F5095F">
      <w:r>
        <w:t xml:space="preserve">Un sumario jurisprudencial es </w:t>
      </w:r>
      <w:r w:rsidRPr="00227463">
        <w:t>una descripción resumida de las doctrinas contempladas en la sentencia judicial dado que en ella pueden tratarse diversas cuestiones jurídicas.</w:t>
      </w:r>
    </w:p>
    <w:p w14:paraId="510986C5" w14:textId="77777777" w:rsidR="003673EB" w:rsidRDefault="00F5095F" w:rsidP="003673EB">
      <w:pPr>
        <w:spacing w:after="0"/>
      </w:pPr>
      <w:r>
        <w:t>Por ejemplo:</w:t>
      </w:r>
      <w:r>
        <w:br/>
      </w:r>
      <w:r w:rsidR="003673EB">
        <w:t xml:space="preserve">Fecha: </w:t>
      </w:r>
      <w:r w:rsidRPr="00F5095F">
        <w:t>01/07/2025</w:t>
      </w:r>
    </w:p>
    <w:p w14:paraId="717E6E7C" w14:textId="147D9E51" w:rsidR="00F5095F" w:rsidRDefault="003673EB" w:rsidP="003673EB">
      <w:pPr>
        <w:spacing w:after="0"/>
      </w:pPr>
      <w:r>
        <w:t xml:space="preserve">Carátula: </w:t>
      </w:r>
      <w:proofErr w:type="spellStart"/>
      <w:r w:rsidR="00F5095F" w:rsidRPr="00F5095F">
        <w:t>Diloff</w:t>
      </w:r>
      <w:proofErr w:type="spellEnd"/>
      <w:r w:rsidR="00F5095F" w:rsidRPr="00F5095F">
        <w:t xml:space="preserve"> William Edgardo c/ Turismo Miramar S.R.L. y </w:t>
      </w:r>
      <w:proofErr w:type="spellStart"/>
      <w:r w:rsidR="00F5095F" w:rsidRPr="00F5095F">
        <w:t>otro s</w:t>
      </w:r>
      <w:proofErr w:type="spellEnd"/>
      <w:r w:rsidR="00F5095F" w:rsidRPr="00F5095F">
        <w:t>/ indemnización</w:t>
      </w:r>
    </w:p>
    <w:p w14:paraId="3FA013F5" w14:textId="631681CD" w:rsidR="00F5095F" w:rsidRPr="00F5095F" w:rsidRDefault="00F5095F" w:rsidP="00F5095F">
      <w:r>
        <w:t xml:space="preserve">Voces: </w:t>
      </w:r>
      <w:r w:rsidRPr="00F5095F">
        <w:t>DESPIDO - DESPIDO SIN JUSTA CAUSA - DESPIDO CON CAUSA - INJURIA LABORAL - PÉRDIDA DE CONFIANZA</w:t>
      </w:r>
      <w:r>
        <w:br/>
      </w:r>
      <w:r w:rsidRPr="00F5095F">
        <w:t>El despido del trabajador por pérdida de confianza fue injustificado poque las faltas invocadas -incumplimientos a sus deberes como chofer de colectivo y de las tablas horarias- no tuvieron entidad suficiente para extinguir el vínculo laboral.</w:t>
      </w:r>
    </w:p>
    <w:p w14:paraId="3E24E632" w14:textId="77777777" w:rsidR="003673EB" w:rsidRDefault="003673EB" w:rsidP="003673EB">
      <w:pPr>
        <w:spacing w:after="0"/>
      </w:pPr>
      <w:r w:rsidRPr="003673EB">
        <w:t>Fecha: 19/05/2014</w:t>
      </w:r>
    </w:p>
    <w:p w14:paraId="16C24355" w14:textId="5E3F5175" w:rsidR="00F5095F" w:rsidRDefault="00F5095F" w:rsidP="003673EB">
      <w:pPr>
        <w:spacing w:after="0"/>
      </w:pPr>
      <w:proofErr w:type="spellStart"/>
      <w:r w:rsidRPr="00F5095F">
        <w:t>Expte</w:t>
      </w:r>
      <w:proofErr w:type="spellEnd"/>
      <w:r w:rsidRPr="00F5095F">
        <w:t>.: 103859 - DIAZ OJEDA, SUSANA BEATRIZ C/ D.G.E. S/ A.P.A.</w:t>
      </w:r>
    </w:p>
    <w:p w14:paraId="72C4377C" w14:textId="5EB9BE31" w:rsidR="00F5095F" w:rsidRDefault="00F5095F" w:rsidP="003673EB">
      <w:pPr>
        <w:spacing w:after="0"/>
      </w:pPr>
      <w:r>
        <w:t>Voces: EMPLEO PUBLICO - INGRESO A LA FUNCION PUBLICA - CARGOS DOCENTES - DESIGNACIONES DOCENTES - DOCENTES TITULARES - APTITUD PSICOFISICA - CERTIFICADO DE ANTECEDENTES PENALES - ACTO ADMINISTRATIVO IRREGULAR</w:t>
      </w:r>
    </w:p>
    <w:p w14:paraId="2125412C" w14:textId="77777777" w:rsidR="00F5095F" w:rsidRDefault="00F5095F" w:rsidP="00F5095F">
      <w:r>
        <w:t>El cumplimiento de la certificación negativa sobre antecedentes penales y la certificación positiva que acredite poseer la idoneidad psicofísica requerida para el ejercicio de la función, constituyen presupuestos legales para el regular nacimiento de una relación de empleo que conlleve el ejercicio de la función docente como titular en un establecimiento dependiente del Estado provincial.</w:t>
      </w:r>
    </w:p>
    <w:p w14:paraId="2B937410" w14:textId="77777777" w:rsidR="003673EB" w:rsidRDefault="003673EB" w:rsidP="003673EB">
      <w:pPr>
        <w:spacing w:after="0"/>
      </w:pPr>
      <w:r w:rsidRPr="003673EB">
        <w:t>Fecha: 07/04/2014</w:t>
      </w:r>
    </w:p>
    <w:p w14:paraId="74E214D5" w14:textId="328ECE77" w:rsidR="00F5095F" w:rsidRDefault="00F5095F" w:rsidP="003673EB">
      <w:pPr>
        <w:spacing w:after="0"/>
      </w:pPr>
      <w:proofErr w:type="spellStart"/>
      <w:r w:rsidRPr="00F5095F">
        <w:t>Expte</w:t>
      </w:r>
      <w:proofErr w:type="spellEnd"/>
      <w:r w:rsidRPr="00F5095F">
        <w:t>.: 100397 - GALEANO TORRES, FACUNDO MARTIN C/MUNICIPALIDAD DE MZA. S/A.</w:t>
      </w:r>
      <w:proofErr w:type="gramStart"/>
      <w:r w:rsidRPr="00F5095F">
        <w:t>P.A</w:t>
      </w:r>
      <w:proofErr w:type="gramEnd"/>
    </w:p>
    <w:p w14:paraId="6B192EB1" w14:textId="2291C856" w:rsidR="00F5095F" w:rsidRDefault="00F5095F" w:rsidP="003673EB">
      <w:pPr>
        <w:spacing w:after="0"/>
      </w:pPr>
      <w:r>
        <w:t>Voces: EMPLEADOS PUBLICOS - MUNICIPALIDAD - PERMANENCIA EN EL CARGO - CONSERVACION DEL CARGO</w:t>
      </w:r>
    </w:p>
    <w:p w14:paraId="140BFD1E" w14:textId="77777777" w:rsidR="00227463" w:rsidRDefault="00F5095F" w:rsidP="00F5095F">
      <w:r>
        <w:t>La incorporación a planta permanente por la permanencia en el tiempo como personal contratado es una excepción a la regla del ingreso previo concurso, razón por la cual debe ser analizado cada caso en particular y con criterio restrictivo.</w:t>
      </w:r>
    </w:p>
    <w:p w14:paraId="602B5429" w14:textId="77777777" w:rsidR="003673EB" w:rsidRDefault="003673EB" w:rsidP="003673EB">
      <w:pPr>
        <w:spacing w:after="0"/>
      </w:pPr>
      <w:r w:rsidRPr="003673EB">
        <w:t>Fecha: 29/11/2013</w:t>
      </w:r>
    </w:p>
    <w:p w14:paraId="1510ACBB" w14:textId="2C33F42E" w:rsidR="00227463" w:rsidRDefault="00227463" w:rsidP="003673EB">
      <w:pPr>
        <w:spacing w:after="0"/>
      </w:pPr>
      <w:proofErr w:type="spellStart"/>
      <w:r w:rsidRPr="00227463">
        <w:t>Expte</w:t>
      </w:r>
      <w:proofErr w:type="spellEnd"/>
      <w:r w:rsidRPr="00227463">
        <w:t>.: 107047 - SOSA, PEDRO ANTONIO EN J 19.201 SOSA, PEDRO ANTONIO C/C/LA SEGUNDA ART S.A. P/INDEM. ACC. DE TRABAJO S/INCCAS</w:t>
      </w:r>
      <w:r>
        <w:t xml:space="preserve"> </w:t>
      </w:r>
    </w:p>
    <w:p w14:paraId="25EEC2D9" w14:textId="1011C71F" w:rsidR="00227463" w:rsidRDefault="00227463" w:rsidP="003673EB">
      <w:pPr>
        <w:spacing w:after="0"/>
      </w:pPr>
      <w:r w:rsidRPr="00227463">
        <w:lastRenderedPageBreak/>
        <w:t>Voces:</w:t>
      </w:r>
      <w:r>
        <w:t xml:space="preserve"> DERECHO PROCESAL LABORAL - COMPUTO - INDEMNIZACION LABORAL - DEFINITIVIDAD</w:t>
      </w:r>
    </w:p>
    <w:p w14:paraId="56BCD1C6" w14:textId="54720178" w:rsidR="00227463" w:rsidRDefault="00227463" w:rsidP="00227463">
      <w:r>
        <w:t>La definitividad como concepto determinante del nacimiento del derecho del trabajador siniestrado e inicio del cómputo de su prescripción es hasta tanto la incapacidad permanente, sea total o parcial, no devenga definitiva la aseguradora no tendrá obligación de abonar la prestación dineraria indemnizatoria</w:t>
      </w:r>
    </w:p>
    <w:p w14:paraId="37C84E2C" w14:textId="77777777" w:rsidR="00227463" w:rsidRDefault="00227463" w:rsidP="00F5095F"/>
    <w:p w14:paraId="231DA082" w14:textId="24C86B47" w:rsidR="00F5095F" w:rsidRPr="00F5095F" w:rsidRDefault="00F5095F" w:rsidP="00F5095F">
      <w:r>
        <w:t>Para hacer los sumarios debes tener en cuenta las siguientes pautas:</w:t>
      </w:r>
    </w:p>
    <w:p w14:paraId="588AC6D3" w14:textId="6C80906D" w:rsidR="00F5095F" w:rsidRPr="00F5095F" w:rsidRDefault="00F5095F" w:rsidP="00F5095F">
      <w:pPr>
        <w:rPr>
          <w:b/>
          <w:bCs/>
        </w:rPr>
      </w:pPr>
      <w:r w:rsidRPr="00F5095F">
        <w:rPr>
          <w:b/>
          <w:bCs/>
        </w:rPr>
        <w:t>DOCTRINA ÚNICA</w:t>
      </w:r>
    </w:p>
    <w:p w14:paraId="5EFA63A4" w14:textId="62D52C97" w:rsidR="00F5095F" w:rsidRPr="00F5095F" w:rsidRDefault="00F5095F" w:rsidP="00F5095F">
      <w:r w:rsidRPr="00F5095F">
        <w:t>Cada sumario debe contener una sola doctrina. En consecuencia, se deben elaborar tantos sumarios como doctrinas</w:t>
      </w:r>
      <w:r w:rsidR="00CB53AB">
        <w:t xml:space="preserve"> (ideas)</w:t>
      </w:r>
      <w:r w:rsidRPr="00F5095F">
        <w:t xml:space="preserve"> surjan del fallo. Para el</w:t>
      </w:r>
      <w:r>
        <w:t>l</w:t>
      </w:r>
      <w:r w:rsidRPr="00F5095F">
        <w:t>o</w:t>
      </w:r>
      <w:r w:rsidR="00CB53AB">
        <w:t>,</w:t>
      </w:r>
      <w:r w:rsidRPr="00F5095F">
        <w:t xml:space="preserve"> </w:t>
      </w:r>
      <w:r w:rsidR="00227463">
        <w:t>a</w:t>
      </w:r>
      <w:r w:rsidRPr="00F5095F">
        <w:t>l elabora</w:t>
      </w:r>
      <w:r w:rsidR="00227463">
        <w:t>r</w:t>
      </w:r>
      <w:r w:rsidRPr="00F5095F">
        <w:t xml:space="preserve"> el sumario, luego de leer la sentencia, debe</w:t>
      </w:r>
      <w:r w:rsidR="00227463">
        <w:t>s</w:t>
      </w:r>
      <w:r w:rsidRPr="00F5095F">
        <w:t xml:space="preserve"> desentrañar cada uno de los temas que se tratan, y una vez individualizados, redactar un sumario</w:t>
      </w:r>
      <w:r w:rsidR="00CB53AB">
        <w:t xml:space="preserve"> </w:t>
      </w:r>
      <w:r w:rsidRPr="00F5095F">
        <w:t>par</w:t>
      </w:r>
      <w:r w:rsidR="00CB53AB">
        <w:t>a</w:t>
      </w:r>
      <w:r w:rsidRPr="00F5095F">
        <w:t xml:space="preserve"> cada uno de ellos</w:t>
      </w:r>
      <w:r w:rsidR="00227463">
        <w:t>, que resuma la idea aplicable a otros casos</w:t>
      </w:r>
      <w:r w:rsidR="00CB53AB">
        <w:t xml:space="preserve"> similares</w:t>
      </w:r>
      <w:r w:rsidRPr="00F5095F">
        <w:t>.</w:t>
      </w:r>
    </w:p>
    <w:p w14:paraId="46CD865C" w14:textId="77777777" w:rsidR="00F5095F" w:rsidRPr="00F5095F" w:rsidRDefault="00F5095F" w:rsidP="00F5095F">
      <w:pPr>
        <w:rPr>
          <w:b/>
          <w:bCs/>
        </w:rPr>
      </w:pPr>
      <w:r w:rsidRPr="00F5095F">
        <w:rPr>
          <w:b/>
          <w:bCs/>
        </w:rPr>
        <w:t>AUTONOMÍA O AUTOSUFICIENCIA</w:t>
      </w:r>
    </w:p>
    <w:p w14:paraId="55A853F5" w14:textId="30083E68" w:rsidR="00F5095F" w:rsidRPr="00F5095F" w:rsidRDefault="00F5095F" w:rsidP="00F5095F">
      <w:r w:rsidRPr="00F5095F">
        <w:t>Los sumarios de jurisprudencia deben contener conceptos que se valgan por sí mismos sin necesidad de recurrir para su compresión a la lectura del fallo, o a otros sumarios del mismo.</w:t>
      </w:r>
      <w:r w:rsidR="00227463">
        <w:t xml:space="preserve"> Por eso, cuando la doctrina que se aplicó surge del razonamiento según circunstancias del caso en particular, debe hacerse mención brevemente a ellas, si es que los jueces las tuvieron en cuenta para decidir.</w:t>
      </w:r>
    </w:p>
    <w:p w14:paraId="35A9C45B" w14:textId="77777777" w:rsidR="00F5095F" w:rsidRPr="00F5095F" w:rsidRDefault="00F5095F" w:rsidP="00F5095F">
      <w:pPr>
        <w:rPr>
          <w:b/>
          <w:bCs/>
        </w:rPr>
      </w:pPr>
      <w:r w:rsidRPr="00F5095F">
        <w:rPr>
          <w:b/>
          <w:bCs/>
        </w:rPr>
        <w:t>GENERALIDAD</w:t>
      </w:r>
    </w:p>
    <w:p w14:paraId="4CDEB58B" w14:textId="36060348" w:rsidR="00F5095F" w:rsidRPr="00F5095F" w:rsidRDefault="00F5095F" w:rsidP="00F5095F">
      <w:r w:rsidRPr="00F5095F">
        <w:t>Debe darse un sentido generalizado al conteni</w:t>
      </w:r>
      <w:r w:rsidR="00227463">
        <w:t>d</w:t>
      </w:r>
      <w:r w:rsidRPr="00F5095F">
        <w:t xml:space="preserve">o </w:t>
      </w:r>
      <w:r w:rsidR="001527BD">
        <w:t>del sumario, de manera que no so</w:t>
      </w:r>
      <w:r w:rsidRPr="00F5095F">
        <w:t>lo se adapte al caso concreto, sino que pueda ser aplicado a otros similares</w:t>
      </w:r>
      <w:r w:rsidR="00227463">
        <w:t>, pero, reitero, sin dejar de tener en cuenta las particularidades (hechos, circunstancias de las partes, modalidades de empleo, etc.) que motivaron la decisión</w:t>
      </w:r>
      <w:r w:rsidRPr="00F5095F">
        <w:t>.</w:t>
      </w:r>
    </w:p>
    <w:p w14:paraId="3C86D622" w14:textId="77777777" w:rsidR="00F5095F" w:rsidRPr="00F5095F" w:rsidRDefault="00F5095F" w:rsidP="00F5095F">
      <w:pPr>
        <w:rPr>
          <w:b/>
          <w:bCs/>
        </w:rPr>
      </w:pPr>
      <w:r w:rsidRPr="00F5095F">
        <w:rPr>
          <w:b/>
          <w:bCs/>
        </w:rPr>
        <w:t>BREVEDAD Y CONSICIÓN</w:t>
      </w:r>
    </w:p>
    <w:p w14:paraId="1BD1B849" w14:textId="6D10AD66" w:rsidR="00F5095F" w:rsidRPr="00F5095F" w:rsidRDefault="00F5095F" w:rsidP="00F5095F">
      <w:r w:rsidRPr="00F5095F">
        <w:t>La comprensión de un texto está en directa relación con la extensión de las frases</w:t>
      </w:r>
      <w:r w:rsidR="00B33584">
        <w:t xml:space="preserve"> utilizadas, por ello, e</w:t>
      </w:r>
      <w:r w:rsidRPr="00F5095F">
        <w:t xml:space="preserve">stas deben ser </w:t>
      </w:r>
      <w:r w:rsidR="00227463">
        <w:t xml:space="preserve">lo más </w:t>
      </w:r>
      <w:r w:rsidRPr="00F5095F">
        <w:t>breves y concisas</w:t>
      </w:r>
      <w:r w:rsidR="00227463">
        <w:t xml:space="preserve"> que se pueda</w:t>
      </w:r>
      <w:r w:rsidRPr="00F5095F">
        <w:t>.</w:t>
      </w:r>
    </w:p>
    <w:p w14:paraId="57978B81" w14:textId="77777777" w:rsidR="00F5095F" w:rsidRPr="00F5095F" w:rsidRDefault="00F5095F" w:rsidP="00F5095F">
      <w:pPr>
        <w:rPr>
          <w:b/>
          <w:bCs/>
        </w:rPr>
      </w:pPr>
      <w:r w:rsidRPr="00F5095F">
        <w:rPr>
          <w:b/>
          <w:bCs/>
        </w:rPr>
        <w:t>CLARIDAD Y CONCRECIÓN</w:t>
      </w:r>
    </w:p>
    <w:p w14:paraId="6BCFBC89" w14:textId="77777777" w:rsidR="00F5095F" w:rsidRPr="00F5095F" w:rsidRDefault="00F5095F" w:rsidP="00F5095F">
      <w:r w:rsidRPr="00F5095F">
        <w:t xml:space="preserve">La información dada por el sumario debe ser expresada en forma sencilla, directa y utilizando un vocabulario jurídico adecuado, permitiendo la compresión del mismo con la primera lectura. Para ello es fundamental que el </w:t>
      </w:r>
      <w:r w:rsidRPr="00F5095F">
        <w:lastRenderedPageBreak/>
        <w:t>sumario sea concreto, es decir, que se deben evitar las cuestiones que no son esenciales, dejando de lado todo lo accesorio.</w:t>
      </w:r>
    </w:p>
    <w:p w14:paraId="1B80CA75" w14:textId="77777777" w:rsidR="00F5095F" w:rsidRPr="00F5095F" w:rsidRDefault="00F5095F" w:rsidP="00F5095F">
      <w:pPr>
        <w:rPr>
          <w:b/>
          <w:bCs/>
        </w:rPr>
      </w:pPr>
      <w:r w:rsidRPr="00F5095F">
        <w:rPr>
          <w:b/>
          <w:bCs/>
        </w:rPr>
        <w:t>FIDELIDAD</w:t>
      </w:r>
    </w:p>
    <w:p w14:paraId="36E3B98E" w14:textId="1BF8AEA0" w:rsidR="00F5095F" w:rsidRPr="00F5095F" w:rsidRDefault="00F5095F" w:rsidP="00F5095F">
      <w:r w:rsidRPr="00F5095F">
        <w:t>El sumario correctamente confeccionado debe prescindir de toda interpretación o apreciación personal que desvirtúe lo expresado por el magistrado de la sentencia.</w:t>
      </w:r>
    </w:p>
    <w:p w14:paraId="59524843" w14:textId="77777777" w:rsidR="00F5095F" w:rsidRPr="00F5095F" w:rsidRDefault="00F5095F" w:rsidP="00F5095F">
      <w:pPr>
        <w:rPr>
          <w:b/>
          <w:bCs/>
        </w:rPr>
      </w:pPr>
      <w:r w:rsidRPr="00F5095F">
        <w:rPr>
          <w:b/>
          <w:bCs/>
        </w:rPr>
        <w:t>SUMARIO TEXTUAL</w:t>
      </w:r>
    </w:p>
    <w:p w14:paraId="44AB1DB6" w14:textId="77777777" w:rsidR="00F5095F" w:rsidRPr="00F5095F" w:rsidRDefault="00F5095F" w:rsidP="00F5095F">
      <w:r w:rsidRPr="00F5095F">
        <w:t>Nada impide que un párrafo textual del fallo, se utilice como sumario, siempre que reúna la totalidad de las pautas para la redacción del mismo.</w:t>
      </w:r>
    </w:p>
    <w:p w14:paraId="739FB41E" w14:textId="135D5903" w:rsidR="00F5095F" w:rsidRPr="00F5095F" w:rsidRDefault="00227463" w:rsidP="00F5095F">
      <w:pPr>
        <w:rPr>
          <w:b/>
          <w:bCs/>
        </w:rPr>
      </w:pPr>
      <w:r>
        <w:rPr>
          <w:b/>
          <w:bCs/>
        </w:rPr>
        <w:t>VOCES</w:t>
      </w:r>
    </w:p>
    <w:p w14:paraId="50CDDD68" w14:textId="6C47B18F" w:rsidR="00F5095F" w:rsidRPr="00F5095F" w:rsidRDefault="00BE4451" w:rsidP="00F5095F">
      <w:r>
        <w:t xml:space="preserve">Las voces </w:t>
      </w:r>
      <w:r w:rsidR="00F5095F" w:rsidRPr="00F5095F">
        <w:t>que se asigne</w:t>
      </w:r>
      <w:r>
        <w:t>n</w:t>
      </w:r>
      <w:r w:rsidR="00F5095F" w:rsidRPr="00F5095F">
        <w:t xml:space="preserve"> al sumario debe</w:t>
      </w:r>
      <w:r>
        <w:t>n</w:t>
      </w:r>
      <w:r w:rsidR="00F5095F" w:rsidRPr="00F5095F">
        <w:t xml:space="preserve"> tener una perfecta correspondencia con el mismo. El título </w:t>
      </w:r>
      <w:r>
        <w:t xml:space="preserve">(voces) </w:t>
      </w:r>
      <w:r w:rsidR="00F5095F" w:rsidRPr="00F5095F">
        <w:t>debe reflejar el contenido temático del sumario, y no el de la sentencia.</w:t>
      </w:r>
      <w:r w:rsidR="00F5095F" w:rsidRPr="00F5095F">
        <w:br/>
        <w:t>Las voces que se utilicen en el título deben ordenarse de lo general a lo particular.</w:t>
      </w:r>
    </w:p>
    <w:p w14:paraId="0D71EC43" w14:textId="59366F26" w:rsidR="00136DB4" w:rsidRDefault="00BE4451">
      <w:r>
        <w:t xml:space="preserve">Debes utilizar los vocablos que utiliza SAIJ,  y que puedes hallar aquí: </w:t>
      </w:r>
      <w:hyperlink r:id="rId5" w:history="1">
        <w:r w:rsidRPr="00955CB1">
          <w:rPr>
            <w:rStyle w:val="Hipervnculo"/>
          </w:rPr>
          <w:t>http://vocabularios.saij.gob.ar/portalthes/?v=1</w:t>
        </w:r>
      </w:hyperlink>
      <w:r>
        <w:t xml:space="preserve"> </w:t>
      </w:r>
    </w:p>
    <w:p w14:paraId="707DC8FD" w14:textId="040943F6" w:rsidR="00863B8C" w:rsidRDefault="00863B8C">
      <w:r>
        <w:t>Las VOCES siempre van en mayúsculas, separadas por guiones (-) y ordenadas desde los temas más genéricos a más específicos (ej. DESPIDO CON CAUSA – FALTA O DISMINUCIÓN DE TRABAJO – CIERRE DEL ESTABLECIMIENTO, etc.)</w:t>
      </w:r>
    </w:p>
    <w:p w14:paraId="278E8DA8" w14:textId="07B6993C" w:rsidR="0072379D" w:rsidRDefault="0072379D">
      <w:pPr>
        <w:rPr>
          <w:b/>
          <w:bCs/>
        </w:rPr>
      </w:pPr>
      <w:r>
        <w:rPr>
          <w:b/>
          <w:bCs/>
        </w:rPr>
        <w:t>MINISTROS</w:t>
      </w:r>
    </w:p>
    <w:p w14:paraId="2DFC43D4" w14:textId="18F1A240" w:rsidR="0072379D" w:rsidRDefault="0072379D">
      <w:r>
        <w:t>Al hacer los sumarios debes aclarar qué ministro opinó en ese sentido</w:t>
      </w:r>
      <w:r w:rsidR="003673EB">
        <w:t>, de manera que</w:t>
      </w:r>
      <w:r w:rsidR="002556BB">
        <w:t>,</w:t>
      </w:r>
      <w:r w:rsidR="003673EB">
        <w:t xml:space="preserve"> si existen opiniones distintas entre los ministros, debes hacer el sumario de las ideas de cada uno, aclarando a quién pertenecen.</w:t>
      </w:r>
      <w:r>
        <w:t xml:space="preserve"> Además, debes indicar el resultado final de la sentencia. Por </w:t>
      </w:r>
      <w:proofErr w:type="spellStart"/>
      <w:r>
        <w:t>ej</w:t>
      </w:r>
      <w:proofErr w:type="spellEnd"/>
      <w:r>
        <w:t>:</w:t>
      </w:r>
    </w:p>
    <w:p w14:paraId="10B73764" w14:textId="6B3A1112" w:rsidR="0072379D" w:rsidRDefault="0072379D">
      <w:r>
        <w:t>(</w:t>
      </w:r>
      <w:r w:rsidR="00580F33">
        <w:t>Aquí va el sumario</w:t>
      </w:r>
      <w:r>
        <w:t xml:space="preserve">) </w:t>
      </w:r>
      <w:r w:rsidR="00580F33">
        <w:t>–</w:t>
      </w:r>
      <w:r>
        <w:t xml:space="preserve"> </w:t>
      </w:r>
      <w:r w:rsidR="00580F33">
        <w:t xml:space="preserve">Opinó </w:t>
      </w:r>
      <w:r>
        <w:t xml:space="preserve">MINISTRO </w:t>
      </w:r>
      <w:r w:rsidR="00863B8C">
        <w:t>(NOMBRE)</w:t>
      </w:r>
      <w:r>
        <w:t xml:space="preserve"> – MINISTRO </w:t>
      </w:r>
      <w:r w:rsidR="00863B8C">
        <w:t>(NOMBRE)</w:t>
      </w:r>
      <w:r>
        <w:t xml:space="preserve"> ADHIRIÓ</w:t>
      </w:r>
      <w:r w:rsidR="002648C0">
        <w:t xml:space="preserve"> – MINISTRO </w:t>
      </w:r>
      <w:r w:rsidR="00863B8C">
        <w:t>(NOMBRE)</w:t>
      </w:r>
      <w:r w:rsidR="002648C0">
        <w:t xml:space="preserve"> DE LICENCIA</w:t>
      </w:r>
      <w:r w:rsidR="00863B8C">
        <w:t>/EN DISIDENCIA/POR SU VOTO</w:t>
      </w:r>
    </w:p>
    <w:p w14:paraId="4D1107B9" w14:textId="22552C9E" w:rsidR="0072379D" w:rsidRDefault="0072379D">
      <w:r>
        <w:t>(</w:t>
      </w:r>
      <w:r w:rsidR="00580F33" w:rsidRPr="00580F33">
        <w:t>Aquí va el sumario</w:t>
      </w:r>
      <w:r>
        <w:t xml:space="preserve">) – </w:t>
      </w:r>
      <w:r w:rsidR="00834911">
        <w:t xml:space="preserve">Voto del </w:t>
      </w:r>
      <w:r>
        <w:t>MINISTRO C (EN DISIDENCIA)</w:t>
      </w:r>
    </w:p>
    <w:p w14:paraId="707AEA0C" w14:textId="4171CFE7" w:rsidR="0072379D" w:rsidRDefault="0072379D">
      <w:r>
        <w:t>O bien: (</w:t>
      </w:r>
      <w:r w:rsidR="00580F33" w:rsidRPr="00580F33">
        <w:t>Aquí va el sumario</w:t>
      </w:r>
      <w:r>
        <w:t>) – MINISTRO A POR MAYORÍA</w:t>
      </w:r>
      <w:r w:rsidR="002648C0">
        <w:t xml:space="preserve"> (cuando opinó Ministro A y los demás adhirieron)</w:t>
      </w:r>
      <w:r>
        <w:t>.</w:t>
      </w:r>
    </w:p>
    <w:p w14:paraId="0C19D077" w14:textId="77777777" w:rsidR="0072379D" w:rsidRDefault="0072379D"/>
    <w:p w14:paraId="1A4A5DD2" w14:textId="1AD496A2" w:rsidR="0072379D" w:rsidRDefault="0072379D">
      <w:r>
        <w:t>Si tienes claro lo que debes hacer, te enviaré la primera sentencia para que comiences a hacer los sumarios y sus voces.</w:t>
      </w:r>
      <w:bookmarkStart w:id="0" w:name="_GoBack"/>
      <w:bookmarkEnd w:id="0"/>
    </w:p>
    <w:sectPr w:rsidR="0072379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95F"/>
    <w:rsid w:val="001175DE"/>
    <w:rsid w:val="00126E39"/>
    <w:rsid w:val="00136DB4"/>
    <w:rsid w:val="001527BD"/>
    <w:rsid w:val="00227463"/>
    <w:rsid w:val="002556BB"/>
    <w:rsid w:val="002648C0"/>
    <w:rsid w:val="003673EB"/>
    <w:rsid w:val="00580F33"/>
    <w:rsid w:val="006B4126"/>
    <w:rsid w:val="0072379D"/>
    <w:rsid w:val="007B7A0F"/>
    <w:rsid w:val="00834911"/>
    <w:rsid w:val="00863B8C"/>
    <w:rsid w:val="008C02EC"/>
    <w:rsid w:val="00B33584"/>
    <w:rsid w:val="00B73E1F"/>
    <w:rsid w:val="00BE4451"/>
    <w:rsid w:val="00CB53AB"/>
    <w:rsid w:val="00F509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5CBB4"/>
  <w15:chartTrackingRefBased/>
  <w15:docId w15:val="{C7D5E346-3550-4704-B1F3-905E5DEF8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509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09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09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09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09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09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09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09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09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09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509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09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09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09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09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09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09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095F"/>
    <w:rPr>
      <w:rFonts w:eastAsiaTheme="majorEastAsia" w:cstheme="majorBidi"/>
      <w:color w:val="272727" w:themeColor="text1" w:themeTint="D8"/>
    </w:rPr>
  </w:style>
  <w:style w:type="paragraph" w:styleId="Ttulo">
    <w:name w:val="Title"/>
    <w:basedOn w:val="Normal"/>
    <w:next w:val="Normal"/>
    <w:link w:val="TtuloCar"/>
    <w:uiPriority w:val="10"/>
    <w:qFormat/>
    <w:rsid w:val="00F50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09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09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09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095F"/>
    <w:pPr>
      <w:spacing w:before="160"/>
      <w:jc w:val="center"/>
    </w:pPr>
    <w:rPr>
      <w:i/>
      <w:iCs/>
      <w:color w:val="404040" w:themeColor="text1" w:themeTint="BF"/>
    </w:rPr>
  </w:style>
  <w:style w:type="character" w:customStyle="1" w:styleId="CitaCar">
    <w:name w:val="Cita Car"/>
    <w:basedOn w:val="Fuentedeprrafopredeter"/>
    <w:link w:val="Cita"/>
    <w:uiPriority w:val="29"/>
    <w:rsid w:val="00F5095F"/>
    <w:rPr>
      <w:i/>
      <w:iCs/>
      <w:color w:val="404040" w:themeColor="text1" w:themeTint="BF"/>
    </w:rPr>
  </w:style>
  <w:style w:type="paragraph" w:styleId="Prrafodelista">
    <w:name w:val="List Paragraph"/>
    <w:basedOn w:val="Normal"/>
    <w:uiPriority w:val="34"/>
    <w:qFormat/>
    <w:rsid w:val="00F5095F"/>
    <w:pPr>
      <w:ind w:left="720"/>
      <w:contextualSpacing/>
    </w:pPr>
  </w:style>
  <w:style w:type="character" w:styleId="nfasisintenso">
    <w:name w:val="Intense Emphasis"/>
    <w:basedOn w:val="Fuentedeprrafopredeter"/>
    <w:uiPriority w:val="21"/>
    <w:qFormat/>
    <w:rsid w:val="00F5095F"/>
    <w:rPr>
      <w:i/>
      <w:iCs/>
      <w:color w:val="0F4761" w:themeColor="accent1" w:themeShade="BF"/>
    </w:rPr>
  </w:style>
  <w:style w:type="paragraph" w:styleId="Citadestacada">
    <w:name w:val="Intense Quote"/>
    <w:basedOn w:val="Normal"/>
    <w:next w:val="Normal"/>
    <w:link w:val="CitadestacadaCar"/>
    <w:uiPriority w:val="30"/>
    <w:qFormat/>
    <w:rsid w:val="00F50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095F"/>
    <w:rPr>
      <w:i/>
      <w:iCs/>
      <w:color w:val="0F4761" w:themeColor="accent1" w:themeShade="BF"/>
    </w:rPr>
  </w:style>
  <w:style w:type="character" w:styleId="Referenciaintensa">
    <w:name w:val="Intense Reference"/>
    <w:basedOn w:val="Fuentedeprrafopredeter"/>
    <w:uiPriority w:val="32"/>
    <w:qFormat/>
    <w:rsid w:val="00F5095F"/>
    <w:rPr>
      <w:b/>
      <w:bCs/>
      <w:smallCaps/>
      <w:color w:val="0F4761" w:themeColor="accent1" w:themeShade="BF"/>
      <w:spacing w:val="5"/>
    </w:rPr>
  </w:style>
  <w:style w:type="character" w:styleId="Hipervnculo">
    <w:name w:val="Hyperlink"/>
    <w:basedOn w:val="Fuentedeprrafopredeter"/>
    <w:uiPriority w:val="99"/>
    <w:unhideWhenUsed/>
    <w:rsid w:val="00F5095F"/>
    <w:rPr>
      <w:color w:val="467886" w:themeColor="hyperlink"/>
      <w:u w:val="single"/>
    </w:rPr>
  </w:style>
  <w:style w:type="character" w:customStyle="1" w:styleId="UnresolvedMention">
    <w:name w:val="Unresolved Mention"/>
    <w:basedOn w:val="Fuentedeprrafopredeter"/>
    <w:uiPriority w:val="99"/>
    <w:semiHidden/>
    <w:unhideWhenUsed/>
    <w:rsid w:val="00F509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6975073">
      <w:bodyDiv w:val="1"/>
      <w:marLeft w:val="0"/>
      <w:marRight w:val="0"/>
      <w:marTop w:val="0"/>
      <w:marBottom w:val="0"/>
      <w:divBdr>
        <w:top w:val="none" w:sz="0" w:space="0" w:color="auto"/>
        <w:left w:val="none" w:sz="0" w:space="0" w:color="auto"/>
        <w:bottom w:val="none" w:sz="0" w:space="0" w:color="auto"/>
        <w:right w:val="none" w:sz="0" w:space="0" w:color="auto"/>
      </w:divBdr>
      <w:divsChild>
        <w:div w:id="366032099">
          <w:marLeft w:val="0"/>
          <w:marRight w:val="0"/>
          <w:marTop w:val="0"/>
          <w:marBottom w:val="0"/>
          <w:divBdr>
            <w:top w:val="none" w:sz="0" w:space="0" w:color="auto"/>
            <w:left w:val="none" w:sz="0" w:space="0" w:color="auto"/>
            <w:bottom w:val="none" w:sz="0" w:space="0" w:color="auto"/>
            <w:right w:val="none" w:sz="0" w:space="0" w:color="auto"/>
          </w:divBdr>
        </w:div>
        <w:div w:id="92821337">
          <w:marLeft w:val="0"/>
          <w:marRight w:val="0"/>
          <w:marTop w:val="0"/>
          <w:marBottom w:val="0"/>
          <w:divBdr>
            <w:top w:val="none" w:sz="0" w:space="0" w:color="auto"/>
            <w:left w:val="none" w:sz="0" w:space="0" w:color="auto"/>
            <w:bottom w:val="none" w:sz="0" w:space="0" w:color="auto"/>
            <w:right w:val="none" w:sz="0" w:space="0" w:color="auto"/>
          </w:divBdr>
        </w:div>
        <w:div w:id="242685580">
          <w:marLeft w:val="0"/>
          <w:marRight w:val="0"/>
          <w:marTop w:val="0"/>
          <w:marBottom w:val="0"/>
          <w:divBdr>
            <w:top w:val="none" w:sz="0" w:space="0" w:color="auto"/>
            <w:left w:val="none" w:sz="0" w:space="0" w:color="auto"/>
            <w:bottom w:val="none" w:sz="0" w:space="0" w:color="auto"/>
            <w:right w:val="none" w:sz="0" w:space="0" w:color="auto"/>
          </w:divBdr>
        </w:div>
      </w:divsChild>
    </w:div>
    <w:div w:id="528950417">
      <w:bodyDiv w:val="1"/>
      <w:marLeft w:val="0"/>
      <w:marRight w:val="0"/>
      <w:marTop w:val="0"/>
      <w:marBottom w:val="0"/>
      <w:divBdr>
        <w:top w:val="none" w:sz="0" w:space="0" w:color="auto"/>
        <w:left w:val="none" w:sz="0" w:space="0" w:color="auto"/>
        <w:bottom w:val="none" w:sz="0" w:space="0" w:color="auto"/>
        <w:right w:val="none" w:sz="0" w:space="0" w:color="auto"/>
      </w:divBdr>
      <w:divsChild>
        <w:div w:id="2016876900">
          <w:marLeft w:val="0"/>
          <w:marRight w:val="0"/>
          <w:marTop w:val="0"/>
          <w:marBottom w:val="0"/>
          <w:divBdr>
            <w:top w:val="none" w:sz="0" w:space="0" w:color="auto"/>
            <w:left w:val="none" w:sz="0" w:space="0" w:color="auto"/>
            <w:bottom w:val="none" w:sz="0" w:space="0" w:color="auto"/>
            <w:right w:val="none" w:sz="0" w:space="0" w:color="auto"/>
          </w:divBdr>
        </w:div>
        <w:div w:id="671956386">
          <w:marLeft w:val="0"/>
          <w:marRight w:val="0"/>
          <w:marTop w:val="0"/>
          <w:marBottom w:val="0"/>
          <w:divBdr>
            <w:top w:val="none" w:sz="0" w:space="0" w:color="auto"/>
            <w:left w:val="none" w:sz="0" w:space="0" w:color="auto"/>
            <w:bottom w:val="none" w:sz="0" w:space="0" w:color="auto"/>
            <w:right w:val="none" w:sz="0" w:space="0" w:color="auto"/>
          </w:divBdr>
        </w:div>
        <w:div w:id="165100986">
          <w:marLeft w:val="0"/>
          <w:marRight w:val="0"/>
          <w:marTop w:val="0"/>
          <w:marBottom w:val="0"/>
          <w:divBdr>
            <w:top w:val="none" w:sz="0" w:space="0" w:color="auto"/>
            <w:left w:val="none" w:sz="0" w:space="0" w:color="auto"/>
            <w:bottom w:val="none" w:sz="0" w:space="0" w:color="auto"/>
            <w:right w:val="none" w:sz="0" w:space="0" w:color="auto"/>
          </w:divBdr>
        </w:div>
      </w:divsChild>
    </w:div>
    <w:div w:id="731004655">
      <w:bodyDiv w:val="1"/>
      <w:marLeft w:val="0"/>
      <w:marRight w:val="0"/>
      <w:marTop w:val="0"/>
      <w:marBottom w:val="0"/>
      <w:divBdr>
        <w:top w:val="none" w:sz="0" w:space="0" w:color="auto"/>
        <w:left w:val="none" w:sz="0" w:space="0" w:color="auto"/>
        <w:bottom w:val="none" w:sz="0" w:space="0" w:color="auto"/>
        <w:right w:val="none" w:sz="0" w:space="0" w:color="auto"/>
      </w:divBdr>
    </w:div>
    <w:div w:id="194877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vocabularios.saij.gob.ar/portalthes/?v=1" TargetMode="External"/><Relationship Id="rId4" Type="http://schemas.openxmlformats.org/officeDocument/2006/relationships/hyperlink" Target="https://www.saij.gob.a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3</Pages>
  <Words>925</Words>
  <Characters>5092</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Cintia S. Martinez Fichele</dc:creator>
  <cp:keywords/>
  <dc:description/>
  <cp:lastModifiedBy>Cintia S. Martinez Fichele</cp:lastModifiedBy>
  <cp:revision>12</cp:revision>
  <dcterms:created xsi:type="dcterms:W3CDTF">2025-09-16T10:50:00Z</dcterms:created>
  <dcterms:modified xsi:type="dcterms:W3CDTF">2026-07-13T13:30:00Z</dcterms:modified>
</cp:coreProperties>
</file>