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D9C3" w14:textId="77777777" w:rsidR="007263F4" w:rsidRDefault="005B0264">
      <w:pPr>
        <w:pStyle w:val="Ttulo"/>
        <w:spacing w:before="200" w:after="160" w:line="276" w:lineRule="auto"/>
        <w:jc w:val="center"/>
      </w:pPr>
      <w:r>
        <w:t>POLÍTICA DE REPASSE E TAXAS DE SERVIÇO</w:t>
      </w:r>
    </w:p>
    <w:p w14:paraId="4FC7DD90" w14:textId="08889DCA" w:rsidR="007263F4" w:rsidRDefault="005B0264">
      <w:pPr>
        <w:spacing w:after="400" w:line="276" w:lineRule="auto"/>
        <w:jc w:val="center"/>
      </w:pPr>
      <w:r>
        <w:rPr>
          <w:i/>
          <w:iCs/>
        </w:rPr>
        <w:t>Documento Complementar ao Contrato de Prestação de Serviços de Intermediação Tecnológica para Eventos</w:t>
      </w:r>
    </w:p>
    <w:p w14:paraId="7140669F" w14:textId="77777777" w:rsidR="007263F4" w:rsidRDefault="005B0264" w:rsidP="0023163E">
      <w:pPr>
        <w:pStyle w:val="Ttulo1"/>
        <w:spacing w:before="360" w:line="276" w:lineRule="auto"/>
        <w:jc w:val="center"/>
      </w:pPr>
      <w:r>
        <w:t>1. OBJETO</w:t>
      </w:r>
    </w:p>
    <w:p w14:paraId="4EADE2F0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1.1.</w:t>
      </w:r>
      <w:r>
        <w:t xml:space="preserve"> Esta Política detalha a estrutura de cobrança da Taxa de Serviço, o cronograma de Repasse de valores ao Organizador, os mecanismos de garantia e retenção, e as obrigações fiscais associadas à intermediação realizada pela Plataforma.</w:t>
      </w:r>
    </w:p>
    <w:p w14:paraId="7FE7F0B8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1.2.</w:t>
      </w:r>
      <w:r>
        <w:t xml:space="preserve"> Os termos em maiúscula não definidos nesta Política têm o significado a eles atribuído no Contrato Principal, ao qual esta Política está indissociavelmente vinculada, nos termos de sua Cláusula 3, prevalecendo o Contrato Principal em caso de conflito sobre matéria nele tratada de forma específica.</w:t>
      </w:r>
    </w:p>
    <w:p w14:paraId="000AB364" w14:textId="77777777" w:rsidR="007263F4" w:rsidRDefault="005B0264" w:rsidP="0023163E">
      <w:pPr>
        <w:pStyle w:val="Ttulo1"/>
        <w:spacing w:before="360" w:line="276" w:lineRule="auto"/>
        <w:jc w:val="center"/>
      </w:pPr>
      <w:r>
        <w:t>2. DA ESTRUTURA DA TAXA DE SERVIÇO</w:t>
      </w:r>
    </w:p>
    <w:p w14:paraId="3590B010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2.1.</w:t>
      </w:r>
      <w:r>
        <w:t xml:space="preserve"> Sobre cada venda de Inscrição incide Taxa de Serviço de 6% (seis por cento) sobre o valor bruto da Inscrição. Inscrições gratuitas serão sujeitas a aprovação prévia da Plataforma. </w:t>
      </w:r>
    </w:p>
    <w:p w14:paraId="0ABF1A27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2.2.</w:t>
      </w:r>
      <w:r>
        <w:t xml:space="preserve"> No painel de criação do Evento, o Organizador poderá escolher livremente como a Taxa de Serviço será dividida entre ele e o Participante, podendo repassar de 0% (zero por cento) a 6% (seis por cento) ao Participante ou absorvê-la integralmente, desde que a soma das parcelas atribuídas a cada parte corresponda sempre a 6%.</w:t>
      </w:r>
    </w:p>
    <w:p w14:paraId="1DD2B3D7" w14:textId="06266C67" w:rsidR="007263F4" w:rsidRDefault="005B0264">
      <w:pPr>
        <w:spacing w:after="160" w:line="276" w:lineRule="auto"/>
        <w:jc w:val="both"/>
      </w:pPr>
      <w:r>
        <w:rPr>
          <w:b/>
          <w:bCs/>
        </w:rPr>
        <w:t>2.</w:t>
      </w:r>
      <w:r w:rsidR="009D0628">
        <w:rPr>
          <w:b/>
          <w:bCs/>
        </w:rPr>
        <w:t>3</w:t>
      </w:r>
      <w:r>
        <w:rPr>
          <w:b/>
          <w:bCs/>
        </w:rPr>
        <w:t>.</w:t>
      </w:r>
      <w:r>
        <w:t xml:space="preserve"> A Plataforma poderá alterar os valores e percentuais desta cláusula mediante aviso prévio de, no mínimo, 30 (trinta) dias, aplicando-se a alteração aos novos eventos criados na Plataforma após sua entrada em vigor</w:t>
      </w:r>
      <w:r w:rsidR="009D0628">
        <w:t>,</w:t>
      </w:r>
      <w:r w:rsidR="00054F5F">
        <w:t xml:space="preserve"> e </w:t>
      </w:r>
      <w:r w:rsidR="009D0628" w:rsidRPr="009D0628">
        <w:t xml:space="preserve">salvo condição </w:t>
      </w:r>
      <w:r w:rsidR="00054F5F">
        <w:t>alternativa</w:t>
      </w:r>
      <w:r w:rsidR="009D0628" w:rsidRPr="009D0628">
        <w:t xml:space="preserve"> em aditivo contratual</w:t>
      </w:r>
      <w:r w:rsidR="009D0628">
        <w:t>.</w:t>
      </w:r>
    </w:p>
    <w:p w14:paraId="2CE5F90A" w14:textId="77777777" w:rsidR="007263F4" w:rsidRDefault="005B0264" w:rsidP="00A62BDE">
      <w:pPr>
        <w:pStyle w:val="Ttulo1"/>
        <w:spacing w:before="360" w:line="276" w:lineRule="auto"/>
        <w:jc w:val="center"/>
      </w:pPr>
      <w:r>
        <w:t>3. DO CRONOGRAMA DE REPASSE</w:t>
      </w:r>
    </w:p>
    <w:p w14:paraId="0D8FD19F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3.1.</w:t>
      </w:r>
      <w:r>
        <w:t xml:space="preserve"> Os prazos padrão para a liberação dos valores líquidos (já descontada a Taxa de Serviço) para o saldo disponível do Organizador são:</w:t>
      </w:r>
    </w:p>
    <w:p w14:paraId="61698432" w14:textId="05DFD98B" w:rsidR="007263F4" w:rsidRPr="00BF639A" w:rsidRDefault="005B0264" w:rsidP="00A62BDE">
      <w:pPr>
        <w:pStyle w:val="PargrafodaLista"/>
        <w:numPr>
          <w:ilvl w:val="0"/>
          <w:numId w:val="2"/>
        </w:numPr>
        <w:spacing w:after="100" w:line="276" w:lineRule="auto"/>
        <w:jc w:val="both"/>
        <w:rPr>
          <w:color w:val="000000" w:themeColor="text1"/>
        </w:rPr>
      </w:pPr>
      <w:r w:rsidRPr="00BF639A">
        <w:rPr>
          <w:color w:val="000000" w:themeColor="text1"/>
        </w:rPr>
        <w:t xml:space="preserve">PIX: compensação e liberação em </w:t>
      </w:r>
      <w:r w:rsidR="00697D03" w:rsidRPr="00BF639A">
        <w:rPr>
          <w:color w:val="000000" w:themeColor="text1"/>
        </w:rPr>
        <w:t xml:space="preserve">até 2 </w:t>
      </w:r>
      <w:r w:rsidRPr="00BF639A">
        <w:rPr>
          <w:color w:val="000000" w:themeColor="text1"/>
        </w:rPr>
        <w:t>(</w:t>
      </w:r>
      <w:r w:rsidR="00697D03" w:rsidRPr="00BF639A">
        <w:rPr>
          <w:color w:val="000000" w:themeColor="text1"/>
        </w:rPr>
        <w:t>dois</w:t>
      </w:r>
      <w:r w:rsidRPr="00BF639A">
        <w:rPr>
          <w:color w:val="000000" w:themeColor="text1"/>
        </w:rPr>
        <w:t>) dia</w:t>
      </w:r>
      <w:r w:rsidR="00697D03" w:rsidRPr="00BF639A">
        <w:rPr>
          <w:color w:val="000000" w:themeColor="text1"/>
        </w:rPr>
        <w:t>s</w:t>
      </w:r>
      <w:r w:rsidRPr="00BF639A">
        <w:rPr>
          <w:color w:val="000000" w:themeColor="text1"/>
        </w:rPr>
        <w:t xml:space="preserve"> út</w:t>
      </w:r>
      <w:r w:rsidR="00697D03" w:rsidRPr="00BF639A">
        <w:rPr>
          <w:color w:val="000000" w:themeColor="text1"/>
        </w:rPr>
        <w:t>eis</w:t>
      </w:r>
      <w:r w:rsidRPr="00BF639A">
        <w:rPr>
          <w:color w:val="000000" w:themeColor="text1"/>
        </w:rPr>
        <w:t>;</w:t>
      </w:r>
    </w:p>
    <w:p w14:paraId="77A95EEB" w14:textId="492B1E1E" w:rsidR="00697D03" w:rsidRPr="00705B6F" w:rsidRDefault="00697D03" w:rsidP="00A62BDE">
      <w:pPr>
        <w:pStyle w:val="PargrafodaLista"/>
        <w:numPr>
          <w:ilvl w:val="0"/>
          <w:numId w:val="2"/>
        </w:numPr>
        <w:spacing w:after="100" w:line="276" w:lineRule="auto"/>
        <w:jc w:val="both"/>
        <w:rPr>
          <w:color w:val="000000" w:themeColor="text1"/>
        </w:rPr>
      </w:pPr>
      <w:r w:rsidRPr="00705B6F">
        <w:rPr>
          <w:color w:val="000000" w:themeColor="text1"/>
        </w:rPr>
        <w:t xml:space="preserve">Cartão de débito: compensação em até </w:t>
      </w:r>
      <w:r w:rsidR="00705B6F" w:rsidRPr="00705B6F">
        <w:rPr>
          <w:color w:val="000000" w:themeColor="text1"/>
        </w:rPr>
        <w:t>2</w:t>
      </w:r>
      <w:r w:rsidRPr="00705B6F">
        <w:rPr>
          <w:color w:val="000000" w:themeColor="text1"/>
        </w:rPr>
        <w:t xml:space="preserve"> (</w:t>
      </w:r>
      <w:r w:rsidR="00705B6F" w:rsidRPr="00705B6F">
        <w:rPr>
          <w:color w:val="000000" w:themeColor="text1"/>
        </w:rPr>
        <w:t>dois</w:t>
      </w:r>
      <w:r w:rsidRPr="00705B6F">
        <w:rPr>
          <w:color w:val="000000" w:themeColor="text1"/>
        </w:rPr>
        <w:t xml:space="preserve">) </w:t>
      </w:r>
      <w:r w:rsidR="00705B6F" w:rsidRPr="00705B6F">
        <w:rPr>
          <w:color w:val="000000" w:themeColor="text1"/>
        </w:rPr>
        <w:t xml:space="preserve">dias </w:t>
      </w:r>
      <w:r w:rsidRPr="00705B6F">
        <w:rPr>
          <w:color w:val="000000" w:themeColor="text1"/>
        </w:rPr>
        <w:t>úteis</w:t>
      </w:r>
      <w:r w:rsidR="00705B6F" w:rsidRPr="00705B6F">
        <w:rPr>
          <w:color w:val="000000" w:themeColor="text1"/>
        </w:rPr>
        <w:t>;</w:t>
      </w:r>
      <w:r w:rsidRPr="00705B6F">
        <w:rPr>
          <w:color w:val="000000" w:themeColor="text1"/>
        </w:rPr>
        <w:t xml:space="preserve"> </w:t>
      </w:r>
    </w:p>
    <w:p w14:paraId="28015E4A" w14:textId="6DE68F47" w:rsidR="007263F4" w:rsidRDefault="005B0264" w:rsidP="00A62BDE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t>Cartão de Crédito à vista</w:t>
      </w:r>
      <w:r w:rsidR="00BF639A">
        <w:t xml:space="preserve">: </w:t>
      </w:r>
      <w:r>
        <w:t>liberação em 31 (trinta e um) dias corridos, contados da aprovação da compra;</w:t>
      </w:r>
    </w:p>
    <w:p w14:paraId="578AF47A" w14:textId="77777777" w:rsidR="007263F4" w:rsidRDefault="005B0264" w:rsidP="00A62BDE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t>Cartão de Crédito parcelado: liberação em 31 (trinta e um) dias corridos para a primeira parcela e a cada 30 (trinta) dias para as parcelas subsequentes.</w:t>
      </w:r>
    </w:p>
    <w:p w14:paraId="08D1E3FC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3.2.</w:t>
      </w:r>
      <w:r>
        <w:t xml:space="preserve"> O Organizador poderá solicitar o saque dos valores que estiverem no Saldo Disponível, cujo pagamento via chave PIX cadastrada ocorrerá em até 2 (dois) dias úteis após a solicitação, sem cobrança de tarifa sobre o saque.</w:t>
      </w:r>
    </w:p>
    <w:p w14:paraId="7723F117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lastRenderedPageBreak/>
        <w:t>3.3.</w:t>
      </w:r>
      <w:r>
        <w:t xml:space="preserve"> É vedada a transferência de valores para contas bancárias de terceiros; a conta de destino deve necessariamente ter o Organizador como titular ou cotitular.</w:t>
      </w:r>
    </w:p>
    <w:p w14:paraId="38E5088D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3.4.</w:t>
      </w:r>
      <w:r>
        <w:t xml:space="preserve"> A Plataforma poderá oferecer, a seu critério, serviço de antecipação de recebíveis decorrentes de compras parceladas no cartão de crédito, sujeito a taxa de antecipação a ser definida e informada ao Organizador no momento do pedido.</w:t>
      </w:r>
    </w:p>
    <w:p w14:paraId="4585D32D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3.5.</w:t>
      </w:r>
      <w:r>
        <w:t xml:space="preserve"> O Organizador responde por qualquer equívoco, atraso ou erro decorrente do cadastramento incorreto de seus dados bancários.</w:t>
      </w:r>
    </w:p>
    <w:p w14:paraId="3A0349E7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3.6.</w:t>
      </w:r>
      <w:r>
        <w:t xml:space="preserve"> Eventuais divergências no Repasse devem ser comunicadas à Plataforma em até 30 (trinta) dias, sob pena de presunção de exatidão dos valores transferidos.</w:t>
      </w:r>
    </w:p>
    <w:p w14:paraId="2B36F39E" w14:textId="77777777" w:rsidR="007263F4" w:rsidRDefault="005B0264" w:rsidP="00A62BDE">
      <w:pPr>
        <w:pStyle w:val="Ttulo1"/>
        <w:spacing w:before="360" w:line="276" w:lineRule="auto"/>
        <w:jc w:val="center"/>
      </w:pPr>
      <w:r>
        <w:t>4. DA GARANTIA E RETENÇÃO DE VALORES</w:t>
      </w:r>
    </w:p>
    <w:p w14:paraId="762CBFEC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4.1.</w:t>
      </w:r>
      <w:r>
        <w:t xml:space="preserve"> Retenção de Garantia (10%): do valor líquido a ser disponibilizado ao Organizador em cada venda, a Plataforma reterá o percentual de 10% (dez por cento) como margem de garantia operacional, que ficará sob o status “Aguardando Liberação”.</w:t>
      </w:r>
    </w:p>
    <w:p w14:paraId="2DCBC489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 xml:space="preserve">Exceção: </w:t>
      </w:r>
      <w:r>
        <w:t>não haverá retenção do percentual de 10% nas vendas parceladas no Cartão de Crédito; nestas, o valor líquido será entregue diretamente no Saldo Disponível conforme o vencimento de cada parcela.</w:t>
      </w:r>
    </w:p>
    <w:p w14:paraId="7D3F82B9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4.2.</w:t>
      </w:r>
      <w:r>
        <w:t xml:space="preserve"> Liberação da Retenção de Garantia: o montante retido nos termos do item 4.1 será transferido ao Saldo Disponível do Organizador em até 2 (dois) dias úteis após a realização do Evento, ressalvado o disposto no item 4.3. A Plataforma poderá, a seu critério e mediante análise própria do histórico e do risco do Organizador, liberar esse montante antes da data de realização do Evento.</w:t>
      </w:r>
    </w:p>
    <w:p w14:paraId="55C2148D" w14:textId="7873A328" w:rsidR="007263F4" w:rsidRDefault="005B0264" w:rsidP="00A62BDE">
      <w:pPr>
        <w:spacing w:after="160" w:line="276" w:lineRule="auto"/>
        <w:jc w:val="both"/>
      </w:pPr>
      <w:r>
        <w:rPr>
          <w:b/>
          <w:bCs/>
        </w:rPr>
        <w:t>4.</w:t>
      </w:r>
      <w:r w:rsidR="00705B6F">
        <w:rPr>
          <w:b/>
          <w:bCs/>
        </w:rPr>
        <w:t>3</w:t>
      </w:r>
      <w:r>
        <w:rPr>
          <w:b/>
          <w:bCs/>
        </w:rPr>
        <w:t>.</w:t>
      </w:r>
      <w:r>
        <w:t xml:space="preserve"> A retenção também poderá ocorrer, a qualquer tempo e por prazo diverso do previsto nos itens anteriores, nas hipóteses detalhadas na Política de Prevenção a Fraudes e Segurança, em especial nos casos de suspeita de fraude ou de inadimplência.</w:t>
      </w:r>
    </w:p>
    <w:p w14:paraId="119B3613" w14:textId="4A81D4D1" w:rsidR="007263F4" w:rsidRDefault="005B0264">
      <w:pPr>
        <w:spacing w:after="160" w:line="276" w:lineRule="auto"/>
        <w:jc w:val="both"/>
      </w:pPr>
      <w:r>
        <w:rPr>
          <w:b/>
          <w:bCs/>
        </w:rPr>
        <w:t>4.</w:t>
      </w:r>
      <w:r w:rsidR="00705B6F">
        <w:rPr>
          <w:b/>
          <w:bCs/>
        </w:rPr>
        <w:t>4</w:t>
      </w:r>
      <w:r>
        <w:rPr>
          <w:b/>
          <w:bCs/>
        </w:rPr>
        <w:t>.</w:t>
      </w:r>
      <w:r>
        <w:t xml:space="preserve"> A liberação dos valores retidos nos termos desta Cláusula, seja pelo decurso dos prazos operacionais aqui previstos, seja por antecipação a critério da Plataforma, não exime o Organizador de responsabilidade por Chargebacks iniciados dentro do prazo regulatório de 180 (cento e oitenta) dias contados da autorização da transação, conforme a Resolução BCB nº 522/2025, podendo a Plataforma exercer o direito de regresso previsto na Cláusula 1</w:t>
      </w:r>
      <w:r w:rsidR="00054F5F">
        <w:t>1</w:t>
      </w:r>
      <w:r>
        <w:t xml:space="preserve"> do Contrato Principal mesmo após o decurso dos prazos de retenção operacional desta Política.</w:t>
      </w:r>
    </w:p>
    <w:p w14:paraId="0A762A02" w14:textId="7C8EAB0C" w:rsidR="007263F4" w:rsidRDefault="005B0264" w:rsidP="00A62BDE">
      <w:pPr>
        <w:pStyle w:val="Ttulo1"/>
        <w:spacing w:before="360" w:line="276" w:lineRule="auto"/>
        <w:jc w:val="center"/>
      </w:pPr>
      <w:r>
        <w:t xml:space="preserve">6. DA CESSÃO DE RECEBÍVEIS A TERCEIROS </w:t>
      </w:r>
    </w:p>
    <w:p w14:paraId="72363D8E" w14:textId="5FD2F860" w:rsidR="007263F4" w:rsidRDefault="005B0264">
      <w:pPr>
        <w:spacing w:after="160" w:line="276" w:lineRule="auto"/>
        <w:jc w:val="both"/>
        <w:rPr>
          <w:color w:val="FF0000"/>
        </w:rPr>
      </w:pPr>
      <w:r>
        <w:rPr>
          <w:b/>
          <w:bCs/>
        </w:rPr>
        <w:t>6.1.</w:t>
      </w:r>
      <w:r>
        <w:t xml:space="preserve"> É vedada, de forma absoluta, a cessão, total ou parcial, dos créditos ou recebíveis que o Organizador tenha a receber da Plataforma a qualquer instituição financeira, não financeira, fundo de investimento ou terceiro. Qualquer instrução ou notificação de cessionário recebida pela Plataforma será considerada ineficaz.</w:t>
      </w:r>
    </w:p>
    <w:p w14:paraId="450D467B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lastRenderedPageBreak/>
        <w:t>6.2.</w:t>
      </w:r>
      <w:r>
        <w:t xml:space="preserve"> A Plataforma não possui qualquer responsabilidade pelas operações de cessão realizadas pelo Organizador junto a Cessionários, cabendo a este o cumprimento integral das condições pactuadas com tais instituições.</w:t>
      </w:r>
    </w:p>
    <w:p w14:paraId="2955BA0C" w14:textId="77777777" w:rsidR="007263F4" w:rsidRDefault="005B0264" w:rsidP="00A62BDE">
      <w:pPr>
        <w:pStyle w:val="Ttulo1"/>
        <w:spacing w:before="360" w:line="276" w:lineRule="auto"/>
        <w:jc w:val="center"/>
      </w:pPr>
      <w:r>
        <w:t>7. DAS OBRIGAÇÕES FISCAIS E TRIBUTÁRIAS</w:t>
      </w:r>
    </w:p>
    <w:p w14:paraId="58CF1E46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7.1.</w:t>
      </w:r>
      <w:r>
        <w:t xml:space="preserve"> A Plataforma emitirá nota fiscal contra o Organizador referente ao valor total cobrado a título de Taxa de Serviço, na primeira semana do mês subsequente, sendo responsabilidade do Organizador manter atualizados, na Plataforma, os dados necessários à emissão.</w:t>
      </w:r>
    </w:p>
    <w:p w14:paraId="1CC93AF3" w14:textId="77777777" w:rsidR="007263F4" w:rsidRDefault="005B0264">
      <w:pPr>
        <w:spacing w:after="160" w:line="276" w:lineRule="auto"/>
        <w:jc w:val="both"/>
      </w:pPr>
      <w:r>
        <w:rPr>
          <w:b/>
          <w:bCs/>
        </w:rPr>
        <w:t>7.2.</w:t>
      </w:r>
      <w:r>
        <w:t xml:space="preserve"> Os tributos incidentes sobre o valor total das vendas realizadas pelo Organizador, bem como a emissão do documento fiscal devido ao Participante, são de responsabilidade exclusiva do Organizador.</w:t>
      </w:r>
    </w:p>
    <w:p w14:paraId="6EE735BF" w14:textId="56BCB47E" w:rsidR="006C7641" w:rsidRDefault="006C7641" w:rsidP="006C7641">
      <w:pPr>
        <w:spacing w:after="160" w:line="276" w:lineRule="auto"/>
        <w:jc w:val="both"/>
      </w:pPr>
      <w:r>
        <w:rPr>
          <w:b/>
          <w:bCs/>
        </w:rPr>
        <w:t>7.3.</w:t>
      </w:r>
      <w:r>
        <w:t xml:space="preserve"> Nos casos em que a Plataforma seja obrigada a reembolsar o Participante por valor que inclua a Taxa de Serviço</w:t>
      </w:r>
      <w:r w:rsidR="009756A2">
        <w:t xml:space="preserve"> </w:t>
      </w:r>
      <w:r w:rsidR="009756A2" w:rsidRPr="009756A2">
        <w:t>já cobrada e efetivamente paga pelo próprio usuário</w:t>
      </w:r>
      <w:r>
        <w:t xml:space="preserve"> — seja em razão do exercício do direito de arrependimento no prazo legal, seja em razão de cancelamento ou inexecução do Evento pelo Organizador —, o montante correspondente à Taxa de Serviço reembolsada ao Participante</w:t>
      </w:r>
      <w:r w:rsidR="00110A2E">
        <w:t>, acrescida de Taxa Administrativa de Estorno de 2% (dois por cento)</w:t>
      </w:r>
      <w:r>
        <w:t xml:space="preserve"> </w:t>
      </w:r>
      <w:r w:rsidR="00110A2E" w:rsidRPr="00110A2E">
        <w:t xml:space="preserve">sobre o subtotal pago pelo o </w:t>
      </w:r>
      <w:r w:rsidR="00110A2E">
        <w:t xml:space="preserve">usuário </w:t>
      </w:r>
      <w:r>
        <w:t>será objeto de regresso da Plataforma contra o Organizador, nos termos da Cláusula 1</w:t>
      </w:r>
      <w:r w:rsidR="00054F5F">
        <w:t>1</w:t>
      </w:r>
      <w:r>
        <w:t xml:space="preserve"> do Contrato Principal, podendo ser executado mediante desconto automático do saldo disponível ou de Repasses futuros do mesmo Organizador, inclusive de outros Eventos, independentemente de o valor nunca ter integrado o saldo disponível do Organizador.</w:t>
      </w:r>
    </w:p>
    <w:p w14:paraId="3705C671" w14:textId="77777777" w:rsidR="007263F4" w:rsidRDefault="005B0264" w:rsidP="00A62BDE">
      <w:pPr>
        <w:pStyle w:val="Ttulo1"/>
        <w:spacing w:before="360" w:line="276" w:lineRule="auto"/>
        <w:jc w:val="center"/>
      </w:pPr>
      <w:r>
        <w:t>8. DISPOSIÇÕES FINAIS</w:t>
      </w:r>
    </w:p>
    <w:p w14:paraId="739A9FA9" w14:textId="68EF96A0" w:rsidR="007263F4" w:rsidRDefault="005B0264">
      <w:pPr>
        <w:spacing w:after="160" w:line="276" w:lineRule="auto"/>
        <w:jc w:val="both"/>
      </w:pPr>
      <w:r>
        <w:rPr>
          <w:b/>
          <w:bCs/>
        </w:rPr>
        <w:t>8.1.</w:t>
      </w:r>
      <w:r>
        <w:t xml:space="preserve"> Esta Política poderá ser atualizada na forma da Cláusula 2</w:t>
      </w:r>
      <w:r w:rsidR="00054F5F">
        <w:t>2</w:t>
      </w:r>
      <w:r>
        <w:t xml:space="preserve"> do Contrato Principal.</w:t>
      </w:r>
    </w:p>
    <w:p w14:paraId="0DEC0298" w14:textId="23962AAA" w:rsidR="007263F4" w:rsidRDefault="005B0264">
      <w:pPr>
        <w:spacing w:after="160" w:line="276" w:lineRule="auto"/>
        <w:jc w:val="both"/>
      </w:pPr>
      <w:r>
        <w:rPr>
          <w:b/>
          <w:bCs/>
        </w:rPr>
        <w:t>8.2.</w:t>
      </w:r>
      <w:r>
        <w:t xml:space="preserve"> O atraso no pagamento de valores devidos pelo Organizador à Plataforma sujeitará o devedor a juros de mora de 1% (um por cento) ao mês e correção monetária pelo IPCA, sem prejuízo da cobrança do valor principal e das medidas previstas na Cláusula 1</w:t>
      </w:r>
      <w:r w:rsidR="00054F5F">
        <w:t>2</w:t>
      </w:r>
      <w:r>
        <w:t xml:space="preserve"> do Contrato Principal.</w:t>
      </w:r>
    </w:p>
    <w:sectPr w:rsidR="007263F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721C" w14:textId="77777777" w:rsidR="00C92D4C" w:rsidRDefault="00C92D4C">
      <w:r>
        <w:separator/>
      </w:r>
    </w:p>
  </w:endnote>
  <w:endnote w:type="continuationSeparator" w:id="0">
    <w:p w14:paraId="410B9C18" w14:textId="77777777" w:rsidR="00C92D4C" w:rsidRDefault="00C92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5F5F4" w14:textId="77777777" w:rsidR="007263F4" w:rsidRDefault="005B0264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 xml:space="preserve">Página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A62BDE">
      <w:rPr>
        <w:rFonts w:ascii="Arial" w:eastAsia="Arial" w:hAnsi="Arial" w:cs="Arial"/>
        <w:noProof/>
        <w:color w:val="999999"/>
        <w:sz w:val="16"/>
        <w:szCs w:val="16"/>
      </w:rPr>
      <w:t>1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  <w:r>
      <w:rPr>
        <w:rFonts w:ascii="Arial" w:eastAsia="Arial" w:hAnsi="Arial" w:cs="Arial"/>
        <w:color w:val="999999"/>
        <w:sz w:val="16"/>
        <w:szCs w:val="16"/>
      </w:rPr>
      <w:t xml:space="preserve"> de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NUMPAGES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A62BDE">
      <w:rPr>
        <w:rFonts w:ascii="Arial" w:eastAsia="Arial" w:hAnsi="Arial" w:cs="Arial"/>
        <w:noProof/>
        <w:color w:val="999999"/>
        <w:sz w:val="16"/>
        <w:szCs w:val="16"/>
      </w:rPr>
      <w:t>2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01F6" w14:textId="77777777" w:rsidR="00C92D4C" w:rsidRDefault="00C92D4C">
      <w:r>
        <w:separator/>
      </w:r>
    </w:p>
  </w:footnote>
  <w:footnote w:type="continuationSeparator" w:id="0">
    <w:p w14:paraId="6FD3981B" w14:textId="77777777" w:rsidR="00C92D4C" w:rsidRDefault="00C92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46966"/>
    <w:multiLevelType w:val="hybridMultilevel"/>
    <w:tmpl w:val="8F146848"/>
    <w:lvl w:ilvl="0" w:tplc="FF40D0DC">
      <w:start w:val="1"/>
      <w:numFmt w:val="bullet"/>
      <w:lvlText w:val="●"/>
      <w:lvlJc w:val="left"/>
      <w:pPr>
        <w:ind w:left="720" w:hanging="360"/>
      </w:pPr>
    </w:lvl>
    <w:lvl w:ilvl="1" w:tplc="0D7CB298">
      <w:start w:val="1"/>
      <w:numFmt w:val="bullet"/>
      <w:lvlText w:val="○"/>
      <w:lvlJc w:val="left"/>
      <w:pPr>
        <w:ind w:left="1440" w:hanging="360"/>
      </w:pPr>
    </w:lvl>
    <w:lvl w:ilvl="2" w:tplc="F1B40AEC">
      <w:start w:val="1"/>
      <w:numFmt w:val="bullet"/>
      <w:lvlText w:val="■"/>
      <w:lvlJc w:val="left"/>
      <w:pPr>
        <w:ind w:left="2160" w:hanging="360"/>
      </w:pPr>
    </w:lvl>
    <w:lvl w:ilvl="3" w:tplc="7AA8E8BC">
      <w:start w:val="1"/>
      <w:numFmt w:val="bullet"/>
      <w:lvlText w:val="●"/>
      <w:lvlJc w:val="left"/>
      <w:pPr>
        <w:ind w:left="2880" w:hanging="360"/>
      </w:pPr>
    </w:lvl>
    <w:lvl w:ilvl="4" w:tplc="03563344">
      <w:start w:val="1"/>
      <w:numFmt w:val="bullet"/>
      <w:lvlText w:val="○"/>
      <w:lvlJc w:val="left"/>
      <w:pPr>
        <w:ind w:left="3600" w:hanging="360"/>
      </w:pPr>
    </w:lvl>
    <w:lvl w:ilvl="5" w:tplc="19483112">
      <w:start w:val="1"/>
      <w:numFmt w:val="bullet"/>
      <w:lvlText w:val="■"/>
      <w:lvlJc w:val="left"/>
      <w:pPr>
        <w:ind w:left="4320" w:hanging="360"/>
      </w:pPr>
    </w:lvl>
    <w:lvl w:ilvl="6" w:tplc="F2181F34">
      <w:start w:val="1"/>
      <w:numFmt w:val="bullet"/>
      <w:lvlText w:val="●"/>
      <w:lvlJc w:val="left"/>
      <w:pPr>
        <w:ind w:left="5040" w:hanging="360"/>
      </w:pPr>
    </w:lvl>
    <w:lvl w:ilvl="7" w:tplc="5B9C0894">
      <w:start w:val="1"/>
      <w:numFmt w:val="bullet"/>
      <w:lvlText w:val="●"/>
      <w:lvlJc w:val="left"/>
      <w:pPr>
        <w:ind w:left="5760" w:hanging="360"/>
      </w:pPr>
    </w:lvl>
    <w:lvl w:ilvl="8" w:tplc="5BB22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836349"/>
    <w:multiLevelType w:val="hybridMultilevel"/>
    <w:tmpl w:val="7772B0D0"/>
    <w:lvl w:ilvl="0" w:tplc="C4A46FCE">
      <w:start w:val="1"/>
      <w:numFmt w:val="bullet"/>
      <w:lvlText w:val="•"/>
      <w:lvlJc w:val="left"/>
      <w:pPr>
        <w:ind w:left="720" w:hanging="360"/>
      </w:pPr>
    </w:lvl>
    <w:lvl w:ilvl="1" w:tplc="C3CCE89C">
      <w:numFmt w:val="decimal"/>
      <w:lvlText w:val=""/>
      <w:lvlJc w:val="left"/>
    </w:lvl>
    <w:lvl w:ilvl="2" w:tplc="31EA3BBC">
      <w:numFmt w:val="decimal"/>
      <w:lvlText w:val=""/>
      <w:lvlJc w:val="left"/>
    </w:lvl>
    <w:lvl w:ilvl="3" w:tplc="0F1A9FEC">
      <w:numFmt w:val="decimal"/>
      <w:lvlText w:val=""/>
      <w:lvlJc w:val="left"/>
    </w:lvl>
    <w:lvl w:ilvl="4" w:tplc="B1D0F7BE">
      <w:numFmt w:val="decimal"/>
      <w:lvlText w:val=""/>
      <w:lvlJc w:val="left"/>
    </w:lvl>
    <w:lvl w:ilvl="5" w:tplc="D3DE704C">
      <w:numFmt w:val="decimal"/>
      <w:lvlText w:val=""/>
      <w:lvlJc w:val="left"/>
    </w:lvl>
    <w:lvl w:ilvl="6" w:tplc="8CC62D10">
      <w:numFmt w:val="decimal"/>
      <w:lvlText w:val=""/>
      <w:lvlJc w:val="left"/>
    </w:lvl>
    <w:lvl w:ilvl="7" w:tplc="0BA63C38">
      <w:numFmt w:val="decimal"/>
      <w:lvlText w:val=""/>
      <w:lvlJc w:val="left"/>
    </w:lvl>
    <w:lvl w:ilvl="8" w:tplc="B0BA6182">
      <w:numFmt w:val="decimal"/>
      <w:lvlText w:val=""/>
      <w:lvlJc w:val="left"/>
    </w:lvl>
  </w:abstractNum>
  <w:abstractNum w:abstractNumId="2" w15:restartNumberingAfterBreak="0">
    <w:nsid w:val="65D975DA"/>
    <w:multiLevelType w:val="hybridMultilevel"/>
    <w:tmpl w:val="1CFC4A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B186D"/>
    <w:multiLevelType w:val="hybridMultilevel"/>
    <w:tmpl w:val="B6042E44"/>
    <w:lvl w:ilvl="0" w:tplc="5386C538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2457">
    <w:abstractNumId w:val="0"/>
    <w:lvlOverride w:ilvl="0">
      <w:startOverride w:val="1"/>
    </w:lvlOverride>
  </w:num>
  <w:num w:numId="2" w16cid:durableId="1599604989">
    <w:abstractNumId w:val="3"/>
  </w:num>
  <w:num w:numId="3" w16cid:durableId="711730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3F4"/>
    <w:rsid w:val="0002529E"/>
    <w:rsid w:val="00054F5F"/>
    <w:rsid w:val="000B10A7"/>
    <w:rsid w:val="00110A2E"/>
    <w:rsid w:val="001F781A"/>
    <w:rsid w:val="0023163E"/>
    <w:rsid w:val="00267C36"/>
    <w:rsid w:val="00281F03"/>
    <w:rsid w:val="002F7C0B"/>
    <w:rsid w:val="003E4ED4"/>
    <w:rsid w:val="004B77D6"/>
    <w:rsid w:val="004C52D8"/>
    <w:rsid w:val="00540C45"/>
    <w:rsid w:val="00546DAB"/>
    <w:rsid w:val="00562C79"/>
    <w:rsid w:val="005B0264"/>
    <w:rsid w:val="00697D03"/>
    <w:rsid w:val="006B58A8"/>
    <w:rsid w:val="006C47D8"/>
    <w:rsid w:val="006C7641"/>
    <w:rsid w:val="00705B6F"/>
    <w:rsid w:val="007263F4"/>
    <w:rsid w:val="007435C0"/>
    <w:rsid w:val="0081743A"/>
    <w:rsid w:val="009756A2"/>
    <w:rsid w:val="009D0628"/>
    <w:rsid w:val="009F277A"/>
    <w:rsid w:val="00A033AC"/>
    <w:rsid w:val="00A62BDE"/>
    <w:rsid w:val="00A67F50"/>
    <w:rsid w:val="00AD5B02"/>
    <w:rsid w:val="00BF639A"/>
    <w:rsid w:val="00C3369C"/>
    <w:rsid w:val="00C50413"/>
    <w:rsid w:val="00C92D4C"/>
    <w:rsid w:val="00D379B3"/>
    <w:rsid w:val="00E8784C"/>
    <w:rsid w:val="00FC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60A17"/>
  <w15:docId w15:val="{92EC5DDB-B77A-6540-81D0-6D1378F8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spacing w:before="20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b/>
      <w:bCs/>
      <w:sz w:val="28"/>
      <w:szCs w:val="28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A62BD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10A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10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1016</Words>
  <Characters>5919</Characters>
  <Application>Microsoft Office Word</Application>
  <DocSecurity>0</DocSecurity>
  <Lines>92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Teixeira</cp:lastModifiedBy>
  <cp:revision>7</cp:revision>
  <cp:lastPrinted>2026-07-07T13:49:00Z</cp:lastPrinted>
  <dcterms:created xsi:type="dcterms:W3CDTF">2026-06-26T21:12:00Z</dcterms:created>
  <dcterms:modified xsi:type="dcterms:W3CDTF">2026-07-07T13:49:00Z</dcterms:modified>
</cp:coreProperties>
</file>