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НКНбд-01-21</w:t>
      </w:r>
    </w:p>
    <w:p>
      <w:pPr>
        <w:pStyle w:val="Author"/>
      </w:pPr>
      <w:r>
        <w:t xml:space="preserve">Подлесный</w:t>
      </w:r>
      <w:r>
        <w:t xml:space="preserve"> </w:t>
      </w:r>
      <w:r>
        <w:t xml:space="preserve">Иван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введение"/>
    <w:p>
      <w:pPr>
        <w:pStyle w:val="Heading1"/>
      </w:pPr>
      <w:r>
        <w:t xml:space="preserve">Введение</w:t>
      </w:r>
    </w:p>
    <w:p>
      <w:pPr>
        <w:pStyle w:val="FirstParagraph"/>
      </w:pPr>
      <w:r>
        <w:t xml:space="preserve">Математи́ческая моде́ль — математическое представление реальности[1], один из вариантов модели как системы, исследование которой позволяет получать информацию о некоторой другой системе. Математическая модель, в частности, предназначена для прогнозирования поведения реального объекта, но всегда представляет собой ту или иную степень его идеализации.</w:t>
      </w:r>
    </w:p>
    <w:p>
      <w:pPr>
        <w:pStyle w:val="BodyText"/>
      </w:pPr>
      <w:r>
        <w:t xml:space="preserve">Математи́ческим моделированием называют как саму деятельность, так и совокупность принятых приёмов и техник построения и изучения математических моделей.</w:t>
      </w:r>
    </w:p>
    <w:bookmarkEnd w:id="20"/>
    <w:bookmarkStart w:id="21" w:name="цель-работы"/>
    <w:p>
      <w:pPr>
        <w:pStyle w:val="Heading1"/>
      </w:pP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Запишите уравнение, описывающее движение катера, с начальными условиями для двух случаев (в зависимости от расположения катера относительно лодки в начальный момент времени).</w:t>
      </w:r>
    </w:p>
    <w:p>
      <w:pPr>
        <w:numPr>
          <w:ilvl w:val="0"/>
          <w:numId w:val="1001"/>
        </w:numPr>
        <w:pStyle w:val="Compact"/>
      </w:pPr>
      <w:r>
        <w:t xml:space="preserve">Постройте траекторию движения катера и лодки для двух случаев.</w:t>
      </w:r>
    </w:p>
    <w:p>
      <w:pPr>
        <w:numPr>
          <w:ilvl w:val="0"/>
          <w:numId w:val="1001"/>
        </w:numPr>
        <w:pStyle w:val="Compact"/>
      </w:pPr>
      <w:r>
        <w:t xml:space="preserve">Найдите точку пересечения траектории катера и лодки</w:t>
      </w:r>
    </w:p>
    <w:p>
      <w:pPr>
        <w:pStyle w:val="FirstParagraph"/>
      </w:pPr>
      <w:r>
        <w:t xml:space="preserve">Для данной задачи:</w:t>
      </w:r>
      <w:r>
        <w:t xml:space="preserve"> </w:t>
      </w:r>
      <w:r>
        <w:t xml:space="preserve">- На море в тумане катер береговой охраны преследует лодку браконьеров. Через определенный промежуток времени туман рассеивается, и лодка обнаруживается на расстоянии 11,5 км от катера. Затем лодка снова скрывается в тумане и уходит прямолинейно в неизвестном направлении. Известно, что скорость катера в 3,5 раза больше скорости браконьерской лодки</w:t>
      </w:r>
    </w:p>
    <w:p>
      <w:pPr>
        <w:pStyle w:val="BodyText"/>
      </w:pPr>
      <w:r>
        <w:t xml:space="preserve">Вариант вычислялся по формуле номер ст.билета % кол-во заданий. Результатом стало число n % 70 = 32</w:t>
      </w:r>
    </w:p>
    <w:bookmarkEnd w:id="21"/>
    <w:bookmarkStart w:id="28" w:name="ход-работы"/>
    <w:p>
      <w:pPr>
        <w:pStyle w:val="Heading1"/>
      </w:pPr>
      <w:r>
        <w:t xml:space="preserve">Ход работы</w:t>
      </w:r>
    </w:p>
    <w:p>
      <w:pPr>
        <w:numPr>
          <w:ilvl w:val="0"/>
          <w:numId w:val="1002"/>
        </w:numPr>
      </w:pPr>
      <w:r>
        <w:t xml:space="preserve">Установили Julia, используя пакет apt</w:t>
      </w:r>
      <w:r>
        <w:t xml:space="preserve"> </w:t>
      </w:r>
      <w:r>
        <w:rPr>
          <w:rStyle w:val="VerbatimChar"/>
        </w:rPr>
        <w:t xml:space="preserve">bash sudo apt-get install julia</w:t>
      </w:r>
      <w:r>
        <w:t xml:space="preserve">, и внутренний пакет Plots, используя команду</w:t>
      </w:r>
      <w:r>
        <w:t xml:space="preserve"> </w:t>
      </w:r>
      <w:r>
        <w:rPr>
          <w:rStyle w:val="VerbatimChar"/>
        </w:rPr>
        <w:t xml:space="preserve">julia using Pkg; Pkg.add("Plots")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Вычислили расстояние между лодкой (браконьеров) и катером (охрана), используя формулу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ν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s</m:t>
            </m:r>
            <m:r>
              <m:rPr>
                <m:sty m:val="p"/>
              </m:rPr>
              <m:t>±</m:t>
            </m:r>
            <m:r>
              <m:t>x</m:t>
            </m:r>
          </m:num>
          <m:den>
            <m:r>
              <m:t>k</m:t>
            </m:r>
            <m:r>
              <m:rPr>
                <m:sty m:val="p"/>
              </m:rPr>
              <m:t>*</m:t>
            </m:r>
            <m:r>
              <m:t>ν</m:t>
            </m:r>
          </m:den>
        </m:f>
      </m:oMath>
      <w:r>
        <w:t xml:space="preserve">, где s = начальное расстояние между лодкой и катером равный 14.4 км и k = коэффициент во сколько раз скорость катера выше чем скорость лодки. В итоге получили значения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11.5</m:t>
            </m:r>
          </m:num>
          <m:den>
            <m:r>
              <m:t>4.5</m:t>
            </m:r>
          </m:den>
        </m:f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11.5</m:t>
            </m:r>
          </m:num>
          <m:den>
            <m:r>
              <m:t>2.5</m:t>
            </m:r>
          </m:den>
        </m:f>
      </m:oMath>
    </w:p>
    <w:p>
      <w:pPr>
        <w:numPr>
          <w:ilvl w:val="0"/>
          <w:numId w:val="1002"/>
        </w:numPr>
      </w:pPr>
      <w:r>
        <w:t xml:space="preserve">Полагая, что катер береговой охраны окажется на одном расстоянии от полюса, что и лодка, он должен сменить прямолинейную траекторию и</w:t>
      </w:r>
      <w:r>
        <w:t xml:space="preserve"> </w:t>
      </w:r>
      <w:r>
        <w:t xml:space="preserve">начать двигаться вокруг полюса удаляясь от него со скоростью лодки</w:t>
      </w:r>
      <w:r>
        <w:t xml:space="preserve"> </w:t>
      </w:r>
      <m:oMath>
        <m:r>
          <m:t>ν</m:t>
        </m:r>
      </m:oMath>
      <w:r>
        <w:t xml:space="preserve">. Для этого скорость катера раскладываем на две составляющие:</w:t>
      </w:r>
      <w:r>
        <w:t xml:space="preserve"> </w:t>
      </w:r>
      <m:oMath>
        <m:sSub>
          <m:e>
            <m:r>
              <m:t>ν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- радиальная скорость и</w:t>
      </w:r>
      <w:r>
        <w:t xml:space="preserve"> </w:t>
      </w:r>
      <m:oMath>
        <m:sSub>
          <m:e>
            <m:r>
              <m:t>ν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- тангенциальная скорость.</w:t>
      </w:r>
      <w:r>
        <w:t xml:space="preserve"> </w:t>
      </w:r>
      <m:oMath>
        <m:sSub>
          <m:e>
            <m:r>
              <m:t>ν</m:t>
            </m:r>
          </m:e>
          <m:sub>
            <m:r>
              <m:t>r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 Нам нужно, чтобы эта скорость была равна скорости лодки, поэтому полагаем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ν</m:t>
        </m:r>
      </m:oMath>
      <w:r>
        <w:t xml:space="preserve">. Тангенциальная скорость – это линейная скорость вращения катера относительно полюса. Она равна произведению угловой скорости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на радиус, то есть</w:t>
      </w:r>
      <w:r>
        <w:t xml:space="preserve"> </w:t>
      </w:r>
      <m:oMath>
        <m:sSub>
          <m:e>
            <m:r>
              <m:t>ν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 Отсюда, используя теорему Пифагора находим</w:t>
      </w:r>
      <w:r>
        <w:t xml:space="preserve"> </w:t>
      </w:r>
      <m:oMath>
        <m:sSub>
          <m:e>
            <m:r>
              <m:t>ν</m:t>
            </m:r>
          </m:e>
          <m:sub>
            <m:r>
              <m:t>t</m:t>
            </m:r>
          </m:sub>
        </m:sSub>
      </m:oMath>
      <w:r>
        <w:t xml:space="preserve">, которая равна</w:t>
      </w:r>
      <w:r>
        <w:t xml:space="preserve"> </w:t>
      </w:r>
      <m:oMath>
        <m:rad>
          <m:radPr>
            <m:degHide m:val="1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k</m:t>
                    </m:r>
                    <m:r>
                      <m:rPr>
                        <m:sty m:val="p"/>
                      </m:rPr>
                      <m:t>*</m:t>
                    </m:r>
                    <m:r>
                      <m:t>ν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ν</m:t>
                </m:r>
              </m:e>
              <m:sup>
                <m:r>
                  <m:t>2</m:t>
                </m:r>
              </m:sup>
            </m:sSup>
          </m:e>
        </m:rad>
      </m:oMath>
      <w:r>
        <w:t xml:space="preserve">. В данном варианте получаем</w:t>
      </w:r>
      <w:r>
        <w:t xml:space="preserve"> </w:t>
      </w:r>
      <m:oMath>
        <m:sSub>
          <m:e>
            <m:r>
              <m:t>ν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11.25</m:t>
            </m:r>
          </m:e>
        </m:rad>
        <m:r>
          <m:t>ν</m:t>
        </m:r>
      </m:oMath>
      <w:r>
        <w:t xml:space="preserve">.</w:t>
      </w:r>
    </w:p>
    <w:p>
      <w:pPr>
        <w:numPr>
          <w:ilvl w:val="0"/>
          <w:numId w:val="1002"/>
        </w:numPr>
      </w:pPr>
      <w:r>
        <w:t xml:space="preserve">Решение исходной задачи сводится к решению системы из двух дифференциальных уравнений</w:t>
      </w:r>
      <w:r>
        <w:t xml:space="preserve"> </w:t>
      </w:r>
      <m:oMath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d</m:t>
                      </m:r>
                      <m:r>
                        <m:t>ν</m:t>
                      </m:r>
                    </m:num>
                    <m:den>
                      <m:r>
                        <m:t>d</m:t>
                      </m:r>
                      <m:r>
                        <m:t>t</m:t>
                      </m:r>
                    </m:den>
                  </m:f>
                  <m:r>
                    <m:rPr>
                      <m:sty m:val="p"/>
                    </m:rPr>
                    <m:t>=</m:t>
                  </m:r>
                  <m:r>
                    <m:t>ν</m:t>
                  </m:r>
                </m:e>
              </m:mr>
              <m:mr>
                <m:e>
                  <m:r>
                    <m:t>r</m:t>
                  </m:r>
                  <m:f>
                    <m:fPr>
                      <m:type m:val="bar"/>
                    </m:fPr>
                    <m:num>
                      <m:r>
                        <m:t>d</m:t>
                      </m:r>
                      <m:r>
                        <m:t>θ</m:t>
                      </m:r>
                    </m:num>
                    <m:den>
                      <m:r>
                        <m:t>d</m:t>
                      </m:r>
                      <m:r>
                        <m:t>t</m:t>
                      </m:r>
                    </m:den>
                  </m:f>
                  <m:r>
                    <m:rPr>
                      <m:sty m:val="p"/>
                    </m:rPr>
                    <m:t>=</m:t>
                  </m:r>
                  <m:rad>
                    <m:radPr>
                      <m:degHide m:val="1"/>
                    </m:radPr>
                    <m:deg/>
                    <m:e>
                      <m:r>
                        <m:t>11.25</m:t>
                      </m:r>
                    </m:e>
                  </m:rad>
                  <m:r>
                    <m:t>ν</m:t>
                  </m:r>
                </m:e>
              </m:mr>
            </m:m>
          </m:e>
        </m:d>
      </m:oMath>
      <w:r>
        <w:t xml:space="preserve">. После интегрирования получаем r =</w:t>
      </w:r>
      <w:r>
        <w:t xml:space="preserve"> </w:t>
      </w:r>
      <m:oMath>
        <m:r>
          <m:t>C</m:t>
        </m:r>
        <m:sSup>
          <m:e>
            <m:r>
              <m:t>e</m:t>
            </m:r>
          </m:e>
          <m:sup>
            <m:f>
              <m:fPr>
                <m:type m:val="bar"/>
              </m:fPr>
              <m:num>
                <m:r>
                  <m:t>θ</m:t>
                </m:r>
              </m:num>
              <m:den>
                <m:rad>
                  <m:radPr>
                    <m:degHide m:val="1"/>
                  </m:radPr>
                  <m:deg/>
                  <m:e>
                    <m:r>
                      <m:t>11.25</m:t>
                    </m:r>
                  </m:e>
                </m:rad>
              </m:den>
            </m:f>
          </m:sup>
        </m:sSup>
      </m:oMath>
    </w:p>
    <w:p>
      <w:pPr>
        <w:numPr>
          <w:ilvl w:val="0"/>
          <w:numId w:val="1002"/>
        </w:numPr>
      </w:pPr>
      <w:r>
        <w:t xml:space="preserve">Переписываем все в julia и получаем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11.5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3.5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ThetaCrdeg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320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dTheta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MaxTheta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</w:t>
      </w:r>
      <w:r>
        <w:rPr>
          <w:rStyle w:val="OperatorTok"/>
        </w:rPr>
        <w:t xml:space="preserve">*</w:t>
      </w:r>
      <w:r>
        <w:rPr>
          <w:rStyle w:val="ConstantTok"/>
        </w:rPr>
        <w:t xml:space="preserve">pi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cases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</w:t>
      </w:r>
      <w:r>
        <w:rPr>
          <w:rStyle w:val="NormalTok"/>
        </w:rPr>
        <w:t xml:space="preserve">(theta)</w:t>
      </w:r>
      <w:r>
        <w:br/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r0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.(theta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.(k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case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cases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r0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theta0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case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"F"</w:t>
      </w:r>
      <w:r>
        <w:br/>
      </w:r>
      <w:r>
        <w:rPr>
          <w:rStyle w:val="NormalTok"/>
        </w:rPr>
        <w:t xml:space="preserve">r0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(k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theth0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r0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(k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theta0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ConstantTok"/>
        </w:rPr>
        <w:t xml:space="preserve">pi</w:t>
      </w:r>
      <w:r>
        <w:br/>
      </w:r>
      <w:r>
        <w:rPr>
          <w:rStyle w:val="ControlFlow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theta1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theta0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MaxTheta</w:t>
      </w:r>
      <w:r>
        <w:br/>
      </w:r>
      <w:r>
        <w:rPr>
          <w:rStyle w:val="NormalTok"/>
        </w:rPr>
        <w:t xml:space="preserve">thetaCop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theta0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dTheta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theta1</w:t>
      </w:r>
      <w:r>
        <w:br/>
      </w:r>
      <w:r>
        <w:rPr>
          <w:rStyle w:val="NormalTok"/>
        </w:rPr>
        <w:t xml:space="preserve">thetaCrook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ThetaCrdeg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pi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180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theta0</w:t>
      </w:r>
      <w:r>
        <w:br/>
      </w:r>
      <w:r>
        <w:br/>
      </w:r>
      <w:r>
        <w:rPr>
          <w:rStyle w:val="NormalTok"/>
        </w:rPr>
        <w:t xml:space="preserve">plt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 proj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polar, aspect_ratio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equal, dpi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500</w:t>
      </w:r>
      <w:r>
        <w:rPr>
          <w:rStyle w:val="NormalTok"/>
        </w:rPr>
        <w:t xml:space="preserve">,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"Lab-#2"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case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"Case"</w:t>
      </w:r>
      <w:r>
        <w:rPr>
          <w:rStyle w:val="NormalTok"/>
        </w:rPr>
        <w:t xml:space="preserve">, legend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)</w:t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(plt, [theta0, theta0], [s, </w:t>
      </w:r>
      <w:r>
        <w:rPr>
          <w:rStyle w:val="FunctionTok"/>
        </w:rPr>
        <w:t xml:space="preserve">F</w:t>
      </w:r>
      <w:r>
        <w:rPr>
          <w:rStyle w:val="NormalTok"/>
        </w:rPr>
        <w:t xml:space="preserve">(theta0)],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red)</w:t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(plt, thetaCop, F, label</w:t>
      </w:r>
      <w:r>
        <w:rPr>
          <w:rStyle w:val="OperatorTok"/>
        </w:rPr>
        <w:t xml:space="preserve">=:</w:t>
      </w:r>
      <w:r>
        <w:rPr>
          <w:rStyle w:val="StringTok"/>
        </w:rPr>
        <w:t xml:space="preserve">"Cop's path"</w:t>
      </w:r>
      <w:r>
        <w:rPr>
          <w:rStyle w:val="NormalTok"/>
        </w:rPr>
        <w:t xml:space="preserve"> ,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red)</w:t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(plt, [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thetaCrook],[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F</w:t>
      </w:r>
      <w:r>
        <w:rPr>
          <w:rStyle w:val="NormalTok"/>
        </w:rPr>
        <w:t xml:space="preserve">(thetaCrook)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20</w:t>
      </w:r>
      <w:r>
        <w:rPr>
          <w:rStyle w:val="NormalTok"/>
        </w:rPr>
        <w:t xml:space="preserve">], label</w:t>
      </w:r>
      <w:r>
        <w:rPr>
          <w:rStyle w:val="OperatorTok"/>
        </w:rPr>
        <w:t xml:space="preserve">=:</w:t>
      </w:r>
      <w:r>
        <w:rPr>
          <w:rStyle w:val="StringTok"/>
        </w:rPr>
        <w:t xml:space="preserve">"Crook trajectory"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green)</w:t>
      </w:r>
      <w:r>
        <w:br/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(plt, [theta0], [s], seriestype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scatter, label</w:t>
      </w:r>
      <w:r>
        <w:rPr>
          <w:rStyle w:val="OperatorTok"/>
        </w:rPr>
        <w:t xml:space="preserve">=:</w:t>
      </w:r>
      <w:r>
        <w:rPr>
          <w:rStyle w:val="StringTok"/>
        </w:rPr>
        <w:t xml:space="preserve">"Cop's starting position"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red)</w:t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(plt, [</w:t>
      </w:r>
      <w:r>
        <w:rPr>
          <w:rStyle w:val="FloatTok"/>
        </w:rPr>
        <w:t xml:space="preserve">0</w:t>
      </w:r>
      <w:r>
        <w:rPr>
          <w:rStyle w:val="NormalTok"/>
        </w:rPr>
        <w:t xml:space="preserve">], [</w:t>
      </w:r>
      <w:r>
        <w:rPr>
          <w:rStyle w:val="FloatTok"/>
        </w:rPr>
        <w:t xml:space="preserve">0</w:t>
      </w:r>
      <w:r>
        <w:rPr>
          <w:rStyle w:val="NormalTok"/>
        </w:rPr>
        <w:t xml:space="preserve">], seriestype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scatter, label</w:t>
      </w:r>
      <w:r>
        <w:rPr>
          <w:rStyle w:val="OperatorTok"/>
        </w:rPr>
        <w:t xml:space="preserve">=:</w:t>
      </w:r>
      <w:r>
        <w:rPr>
          <w:rStyle w:val="StringTok"/>
        </w:rPr>
        <w:t xml:space="preserve">"Crook starting position"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green)</w:t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(plt, [thetaCrook], [</w:t>
      </w:r>
      <w:r>
        <w:rPr>
          <w:rStyle w:val="FunctionTok"/>
        </w:rPr>
        <w:t xml:space="preserve">F</w:t>
      </w:r>
      <w:r>
        <w:rPr>
          <w:rStyle w:val="NormalTok"/>
        </w:rPr>
        <w:t xml:space="preserve">(thetaCrook)], seriestype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scatter, label</w:t>
      </w:r>
      <w:r>
        <w:rPr>
          <w:rStyle w:val="OperatorTok"/>
        </w:rPr>
        <w:t xml:space="preserve">=:</w:t>
      </w:r>
      <w:r>
        <w:rPr>
          <w:rStyle w:val="StringTok"/>
        </w:rPr>
        <w:t xml:space="preserve">"intersection point"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yellow)</w:t>
      </w:r>
      <w:r>
        <w:br/>
      </w:r>
      <w:r>
        <w:br/>
      </w:r>
      <w:r>
        <w:rPr>
          <w:rStyle w:val="FunctionTok"/>
        </w:rPr>
        <w:t xml:space="preserve">savefig</w:t>
      </w:r>
      <w:r>
        <w:rPr>
          <w:rStyle w:val="NormalTok"/>
        </w:rPr>
        <w:t xml:space="preserve">(plt, </w:t>
      </w:r>
      <w:r>
        <w:rPr>
          <w:rStyle w:val="StringTok"/>
        </w:rPr>
        <w:t xml:space="preserve">"Lab-#2"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case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"Case#.png"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(plt)</w:t>
      </w:r>
      <w:r>
        <w:br/>
      </w:r>
      <w:r>
        <w:rPr>
          <w:rStyle w:val="ControlFlowTok"/>
        </w:rPr>
        <w:t xml:space="preserve">end</w:t>
      </w:r>
    </w:p>
    <w:p>
      <w:pPr>
        <w:numPr>
          <w:ilvl w:val="0"/>
          <w:numId w:val="1003"/>
        </w:numPr>
        <w:pStyle w:val="Compact"/>
      </w:pPr>
      <w:r>
        <w:t xml:space="preserve">Результат случая s + x (рис. 1)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Результат при случае s + x" title="" id="23" name="Picture"/>
            <a:graphic>
              <a:graphicData uri="http://schemas.openxmlformats.org/drawingml/2006/picture">
                <pic:pic>
                  <pic:nvPicPr>
                    <pic:cNvPr descr="Cas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Результат при случае s + x</w:t>
      </w:r>
    </w:p>
    <w:p>
      <w:pPr>
        <w:numPr>
          <w:ilvl w:val="0"/>
          <w:numId w:val="1004"/>
        </w:numPr>
        <w:pStyle w:val="Compact"/>
      </w:pPr>
      <w:r>
        <w:t xml:space="preserve">Результат случая s - x (рис. 2)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Результат при случае s - x" title="" id="26" name="Picture"/>
            <a:graphic>
              <a:graphicData uri="http://schemas.openxmlformats.org/drawingml/2006/picture">
                <pic:pic>
                  <pic:nvPicPr>
                    <pic:cNvPr descr="Case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Результат при случае s - x</w:t>
      </w:r>
    </w:p>
    <w:bookmarkEnd w:id="28"/>
    <w:bookmarkStart w:id="29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Во время выполнения лабораторной работы, мы получили базовые знания работы с julia и математическим моделированием.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Oтчёт по лабораторной работе №2</dc:title>
  <dc:creator>Подлесный Иван Сергеевич</dc:creator>
  <dc:language>ru-RU</dc:language>
  <cp:keywords/>
  <dcterms:created xsi:type="dcterms:W3CDTF">2024-02-17T15:45:51Z</dcterms:created>
  <dcterms:modified xsi:type="dcterms:W3CDTF">2024-02-17T15:45:51Z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ItemTemplate">
    <vt:lpwstr>lofItemTitleilistItemTitleDelimt </vt:lpwstr>
  </property>
  <property fmtid="{D5CDD505-2E9C-101B-9397-08002B2CF9AE}" pid="45" name="lofItemTitle">
    <vt:lpwstr/>
  </property>
  <property fmtid="{D5CDD505-2E9C-101B-9397-08002B2CF9AE}" pid="46" name="lofTitle">
    <vt:lpwstr>Цель Работы</vt:lpwstr>
  </property>
  <property fmtid="{D5CDD505-2E9C-101B-9397-08002B2CF9AE}" pid="47" name="lolItemTemplate">
    <vt:lpwstr>lolItemTitleilistItemTitleDelimt </vt:lpwstr>
  </property>
  <property fmtid="{D5CDD505-2E9C-101B-9397-08002B2CF9AE}" pid="48" name="lolItemTitle">
    <vt:lpwstr/>
  </property>
  <property fmtid="{D5CDD505-2E9C-101B-9397-08002B2CF9AE}" pid="49" name="lolTitle">
    <vt:lpwstr>Листинги</vt:lpwstr>
  </property>
  <property fmtid="{D5CDD505-2E9C-101B-9397-08002B2CF9AE}" pid="50" name="lotItemTemplate">
    <vt:lpwstr>lotItemTitleilistItemTitleDelimt </vt:lpwstr>
  </property>
  <property fmtid="{D5CDD505-2E9C-101B-9397-08002B2CF9AE}" pid="51" name="lotItemTitle">
    <vt:lpwstr/>
  </property>
  <property fmtid="{D5CDD505-2E9C-101B-9397-08002B2CF9AE}" pid="52" name="lotTitle">
    <vt:lpwstr>Ход Работы</vt:lpwstr>
  </property>
  <property fmtid="{D5CDD505-2E9C-101B-9397-08002B2CF9AE}" pid="53" name="lstLabels">
    <vt:lpwstr>arabic</vt:lpwstr>
  </property>
  <property fmtid="{D5CDD505-2E9C-101B-9397-08002B2CF9AE}" pid="54" name="lstPrefix">
    <vt:lpwstr/>
  </property>
  <property fmtid="{D5CDD505-2E9C-101B-9397-08002B2CF9AE}" pid="55" name="lstPrefixTemplate">
    <vt:lpwstr>p i</vt:lpwstr>
  </property>
  <property fmtid="{D5CDD505-2E9C-101B-9397-08002B2CF9AE}" pid="56" name="mainfont">
    <vt:lpwstr>Open Sans</vt:lpwstr>
  </property>
  <property fmtid="{D5CDD505-2E9C-101B-9397-08002B2CF9AE}" pid="57" name="mainfontoptions">
    <vt:lpwstr>Ligatures=TeX</vt:lpwstr>
  </property>
  <property fmtid="{D5CDD505-2E9C-101B-9397-08002B2CF9AE}" pid="58" name="monofont">
    <vt:lpwstr>Open Sans</vt:lpwstr>
  </property>
  <property fmtid="{D5CDD505-2E9C-101B-9397-08002B2CF9AE}" pid="59" name="monofontoptions">
    <vt:lpwstr>Scale=MatchLowercase,Scale=0.9</vt:lpwstr>
  </property>
  <property fmtid="{D5CDD505-2E9C-101B-9397-08002B2CF9AE}" pid="60" name="nameInLink">
    <vt:lpwstr>False</vt:lpwstr>
  </property>
  <property fmtid="{D5CDD505-2E9C-101B-9397-08002B2CF9AE}" pid="61" name="numberSections">
    <vt:lpwstr>False</vt:lpwstr>
  </property>
  <property fmtid="{D5CDD505-2E9C-101B-9397-08002B2CF9AE}" pid="62" name="pairDelim">
    <vt:lpwstr>, </vt:lpwstr>
  </property>
  <property fmtid="{D5CDD505-2E9C-101B-9397-08002B2CF9AE}" pid="63" name="papersize">
    <vt:lpwstr>a4</vt:lpwstr>
  </property>
  <property fmtid="{D5CDD505-2E9C-101B-9397-08002B2CF9AE}" pid="64" name="polyglossia-lang">
    <vt:lpwstr/>
  </property>
  <property fmtid="{D5CDD505-2E9C-101B-9397-08002B2CF9AE}" pid="65" name="polyglossia-otherlangs">
    <vt:lpwstr/>
  </property>
  <property fmtid="{D5CDD505-2E9C-101B-9397-08002B2CF9AE}" pid="66" name="rangeDelim">
    <vt:lpwstr>-</vt:lpwstr>
  </property>
  <property fmtid="{D5CDD505-2E9C-101B-9397-08002B2CF9AE}" pid="67" name="refDelim">
    <vt:lpwstr>, </vt:lpwstr>
  </property>
  <property fmtid="{D5CDD505-2E9C-101B-9397-08002B2CF9AE}" pid="68" name="refIndexTemplate">
    <vt:lpwstr>isuf</vt:lpwstr>
  </property>
  <property fmtid="{D5CDD505-2E9C-101B-9397-08002B2CF9AE}" pid="69" name="romanfont">
    <vt:lpwstr>Open Sans</vt:lpwstr>
  </property>
  <property fmtid="{D5CDD505-2E9C-101B-9397-08002B2CF9AE}" pid="70" name="romanfontoptions">
    <vt:lpwstr>Ligatures=TeX</vt:lpwstr>
  </property>
  <property fmtid="{D5CDD505-2E9C-101B-9397-08002B2CF9AE}" pid="71" name="sansfont">
    <vt:lpwstr>Open Sans</vt:lpwstr>
  </property>
  <property fmtid="{D5CDD505-2E9C-101B-9397-08002B2CF9AE}" pid="72" name="sansfontoptions">
    <vt:lpwstr>Ligatures=TeX,Scale=MatchLowercase</vt:lpwstr>
  </property>
  <property fmtid="{D5CDD505-2E9C-101B-9397-08002B2CF9AE}" pid="73" name="secHeaderDelim">
    <vt:lpwstr> </vt:lpwstr>
  </property>
  <property fmtid="{D5CDD505-2E9C-101B-9397-08002B2CF9AE}" pid="74" name="secHeaderTemplate">
    <vt:lpwstr>isecHeaderDelim[n]t</vt:lpwstr>
  </property>
  <property fmtid="{D5CDD505-2E9C-101B-9397-08002B2CF9AE}" pid="75" name="secLabels">
    <vt:lpwstr>arabic</vt:lpwstr>
  </property>
  <property fmtid="{D5CDD505-2E9C-101B-9397-08002B2CF9AE}" pid="76" name="secPrefix">
    <vt:lpwstr/>
  </property>
  <property fmtid="{D5CDD505-2E9C-101B-9397-08002B2CF9AE}" pid="77" name="secPrefixTemplate">
    <vt:lpwstr>p i</vt:lpwstr>
  </property>
  <property fmtid="{D5CDD505-2E9C-101B-9397-08002B2CF9AE}" pid="78" name="sectionsDepth">
    <vt:lpwstr>0</vt:lpwstr>
  </property>
  <property fmtid="{D5CDD505-2E9C-101B-9397-08002B2CF9AE}" pid="79" name="subfigGrid">
    <vt:lpwstr>False</vt:lpwstr>
  </property>
  <property fmtid="{D5CDD505-2E9C-101B-9397-08002B2CF9AE}" pid="80" name="subfigLabels">
    <vt:lpwstr>alpha a</vt:lpwstr>
  </property>
  <property fmtid="{D5CDD505-2E9C-101B-9397-08002B2CF9AE}" pid="81" name="subfigureChildTemplate">
    <vt:lpwstr>i</vt:lpwstr>
  </property>
  <property fmtid="{D5CDD505-2E9C-101B-9397-08002B2CF9AE}" pid="82" name="subfigureRefIndexTemplate">
    <vt:lpwstr>isuf (s)</vt:lpwstr>
  </property>
  <property fmtid="{D5CDD505-2E9C-101B-9397-08002B2CF9AE}" pid="83" name="subfigureTemplate">
    <vt:lpwstr>figureTitle ititleDelim t. ccs</vt:lpwstr>
  </property>
  <property fmtid="{D5CDD505-2E9C-101B-9397-08002B2CF9AE}" pid="84" name="subtitle">
    <vt:lpwstr>НКНбд-01-21</vt:lpwstr>
  </property>
  <property fmtid="{D5CDD505-2E9C-101B-9397-08002B2CF9AE}" pid="85" name="tableEqns">
    <vt:lpwstr>False</vt:lpwstr>
  </property>
  <property fmtid="{D5CDD505-2E9C-101B-9397-08002B2CF9AE}" pid="86" name="tableTemplate">
    <vt:lpwstr>tableTitle ititleDelim t</vt:lpwstr>
  </property>
  <property fmtid="{D5CDD505-2E9C-101B-9397-08002B2CF9AE}" pid="87" name="tableTitle">
    <vt:lpwstr>Таблица</vt:lpwstr>
  </property>
  <property fmtid="{D5CDD505-2E9C-101B-9397-08002B2CF9AE}" pid="88" name="tblLabels">
    <vt:lpwstr>arabic</vt:lpwstr>
  </property>
  <property fmtid="{D5CDD505-2E9C-101B-9397-08002B2CF9AE}" pid="89" name="tblPrefix">
    <vt:lpwstr/>
  </property>
  <property fmtid="{D5CDD505-2E9C-101B-9397-08002B2CF9AE}" pid="90" name="tblPrefixTemplate">
    <vt:lpwstr>p i</vt:lpwstr>
  </property>
  <property fmtid="{D5CDD505-2E9C-101B-9397-08002B2CF9AE}" pid="91" name="titleDelim">
    <vt:lpwstr>:</vt:lpwstr>
  </property>
  <property fmtid="{D5CDD505-2E9C-101B-9397-08002B2CF9AE}" pid="92" name="toc">
    <vt:lpwstr>True</vt:lpwstr>
  </property>
  <property fmtid="{D5CDD505-2E9C-101B-9397-08002B2CF9AE}" pid="93" name="toc-depth">
    <vt:lpwstr>2</vt:lpwstr>
  </property>
  <property fmtid="{D5CDD505-2E9C-101B-9397-08002B2CF9AE}" pid="94" name="toc-title">
    <vt:lpwstr>Содержание</vt:lpwstr>
  </property>
</Properties>
</file>