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2.png" ContentType="image/png"/>
  <Override PartName="/word/media/rId25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НКНбд-01-21</w:t>
      </w:r>
    </w:p>
    <w:p>
      <w:pPr>
        <w:pStyle w:val="Author"/>
      </w:pPr>
      <w:r>
        <w:t xml:space="preserve">Подлесный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Во время выполнения лабораторной работы мы рассмотрим простейшую модель боевых действий - модель Ланчестера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w:r>
        <w:t xml:space="preserve">x(t) и y(t). В</w:t>
      </w:r>
      <w:r>
        <w:t xml:space="preserve"> </w:t>
      </w:r>
      <w:r>
        <w:t xml:space="preserve">начальный момент времени страна Х имеет армию численностью 61 000 человек, а</w:t>
      </w:r>
      <w:r>
        <w:t xml:space="preserve"> </w:t>
      </w:r>
      <w:r>
        <w:t xml:space="preserve">в распоряжении страны У армия численностью в 45 000 человек. Для упрощения</w:t>
      </w:r>
      <w:r>
        <w:t xml:space="preserve"> </w:t>
      </w:r>
      <w:r>
        <w:t xml:space="preserve">модели считаем, что коэффициенты a, b, c, h постоянны. Также считаем</w:t>
      </w:r>
      <w:r>
        <w:t xml:space="preserve"> </w:t>
      </w:r>
      <w:r>
        <w:t xml:space="preserve">P(t) и Q(t)непрерывные функции.Постройте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x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0.22</m:t>
                  </m:r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0.82</m:t>
                  </m:r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s</m:t>
                  </m:r>
                  <m:r>
                    <m:t>i</m:t>
                  </m:r>
                  <m:r>
                    <m:t>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4</m:t>
                      </m:r>
                      <m:r>
                        <m:t>t</m:t>
                      </m:r>
                    </m:e>
                  </m:d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y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0.45</m:t>
                  </m:r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0.67</m:t>
                  </m:r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c</m:t>
                  </m:r>
                  <m:r>
                    <m:t>o</m:t>
                  </m:r>
                  <m:r>
                    <m:t>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4</m:t>
                      </m:r>
                      <m:r>
                        <m:t>t</m:t>
                      </m:r>
                    </m:e>
                  </m:d>
                </m:e>
              </m:mr>
            </m:m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x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0.28</m:t>
                  </m:r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0.83</m:t>
                  </m:r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1.5</m:t>
                  </m:r>
                  <m:r>
                    <m:t>s</m:t>
                  </m:r>
                  <m:r>
                    <m:t>i</m:t>
                  </m:r>
                  <m:r>
                    <m:t>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y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0.31</m:t>
                  </m:r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0.75</m:t>
                  </m:r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1.5</m:t>
                  </m:r>
                  <m:r>
                    <m:t>c</m:t>
                  </m:r>
                  <m:r>
                    <m:t>o</m:t>
                  </m:r>
                  <m:r>
                    <m:t>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mr>
            </m:m>
          </m:e>
        </m:d>
      </m:oMath>
    </w:p>
    <w:bookmarkEnd w:id="21"/>
    <w:bookmarkStart w:id="28" w:name="теория"/>
    <w:p>
      <w:pPr>
        <w:pStyle w:val="Heading1"/>
      </w:pPr>
      <w:r>
        <w:t xml:space="preserve">Теория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x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y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mr>
            </m:m>
          </m:e>
        </m:d>
      </m:oMath>
    </w:p>
    <w:p>
      <w:pPr>
        <w:pStyle w:val="BodyText"/>
      </w:pPr>
      <w:r>
        <w:t xml:space="preserve">Потери, не связанные с боевыми действиями, описывают члены -a(t)x(t) и</w:t>
      </w:r>
      <w:r>
        <w:t xml:space="preserve"> </w:t>
      </w:r>
      <w:r>
        <w:t xml:space="preserve">-h(t)y(t) , члены -b(t)y(t) и -c(t)x(t) отражают потери на поле боя.</w:t>
      </w:r>
      <w:r>
        <w:t xml:space="preserve"> </w:t>
      </w:r>
      <w:r>
        <w:t xml:space="preserve">Коэффициенты b(t) и c(t) указывают на эффективность боевых действий со</w:t>
      </w:r>
      <w:r>
        <w:t xml:space="preserve"> </w:t>
      </w:r>
      <w:r>
        <w:t xml:space="preserve">стороны у и х соответственно, a(t),h(t) - величины, характеризующие степень влияния различных факторов на потери. Функции P(t),Q(t) учитывают 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x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y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mr>
            </m:m>
          </m:e>
        </m:d>
      </m:oMath>
    </w:p>
    <w:p>
      <w:pPr>
        <w:pStyle w:val="BodyText"/>
      </w:pPr>
      <w:r>
        <w:t xml:space="preserve">В простейшей модели борьбы двух противников коэффициенты b(t) и c(t) являются постоянными. Попросту говоря, предполагается, что каждый солдат армии x убивает за единицу времени c солдат армии y (и, соответственно, каждый солдат армии y убивает b солдат армии x). Также не учитываются потери, не связанные с боевыми действиями, и возможность подхода подкрепления. Состояние системы описывается точкой (x,y) положительного квадранта плоскости. Координаты этой точки, x и y - это численности противостоящих армий. Тогда модель принимает вид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acc>
                    <m:accPr>
                      <m:chr m:val="̂"/>
                    </m:accPr>
                    <m:e>
                      <m:r>
                        <m:t>x</m:t>
                      </m:r>
                    </m:e>
                  </m:acc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t>y</m:t>
                  </m:r>
                </m:e>
              </m:mr>
              <m:mr>
                <m:e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r>
                    <m:t>x</m:t>
                  </m:r>
                </m:e>
              </m:mr>
            </m:m>
          </m:e>
        </m:d>
      </m:oMath>
    </w:p>
    <w:p>
      <w:pPr>
        <w:pStyle w:val="BodyText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w:r>
        <w:t xml:space="preserve">cxdx=bydy,</w:t>
      </w:r>
      <w:r>
        <w:t xml:space="preserve"> </w:t>
      </w:r>
      <m:oMath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война,зависит от начальной точки.</w:t>
      </w:r>
    </w:p>
    <w:p>
      <w:pPr>
        <w:pStyle w:val="CaptionedFigure"/>
      </w:pPr>
      <w:r>
        <w:drawing>
          <wp:inline>
            <wp:extent cx="3733800" cy="3148987"/>
            <wp:effectExtent b="0" l="0" r="0" t="0"/>
            <wp:docPr descr="Жесткая модель войны" title="" id="23" name="Picture"/>
            <a:graphic>
              <a:graphicData uri="http://schemas.openxmlformats.org/drawingml/2006/picture">
                <pic:pic>
                  <pic:nvPicPr>
                    <pic:cNvPr descr="graph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8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Жесткая модель войны</w:t>
      </w:r>
    </w:p>
    <w:p>
      <w:pPr>
        <w:pStyle w:val="BodyText"/>
      </w:pP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 Если рассматривать второй случай (война между регулярными войсками и партизанскими отрядами) с теми же упрощениями, то модель (2) принимает вид: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b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Эта система приводится к уравнению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t>c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которое при заданных начальных условиях имеет единственное решение:</w:t>
      </w:r>
    </w:p>
    <w:p>
      <w:pPr>
        <w:pStyle w:val="BodyText"/>
      </w:pP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r>
        <w:drawing>
          <wp:inline>
            <wp:extent cx="3733800" cy="3148987"/>
            <wp:effectExtent b="0" l="0" r="0" t="0"/>
            <wp:docPr descr="Фазовые траектории системы" title="" id="26" name="Picture"/>
            <a:graphic>
              <a:graphicData uri="http://schemas.openxmlformats.org/drawingml/2006/picture">
                <pic:pic>
                  <pic:nvPicPr>
                    <pic:cNvPr descr="graph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8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Фазовые траектории системы</w:t>
      </w:r>
    </w:p>
    <w:p>
      <w:pPr>
        <w:pStyle w:val="BodyText"/>
      </w:pPr>
      <w:r>
        <w:t xml:space="preserve">Из рис. 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Чтобы одержать победу партизанам необходимо увеличить коэффициент c и повысить</w:t>
      </w:r>
      <w:r>
        <w:t xml:space="preserve"> </w:t>
      </w:r>
      <w:r>
        <w:t xml:space="preserve">свою начальную численность на соответствующую величину. Причем это</w:t>
      </w:r>
      <w:r>
        <w:t xml:space="preserve"> </w:t>
      </w:r>
      <w:r>
        <w:t xml:space="preserve">увеличение, с ростом начальной численности регулярных войск ( x(0) ) , должно расти не линейно, а пропорционально второй степени x(0) 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</w:p>
    <w:p>
      <w:pPr>
        <w:pStyle w:val="BodyText"/>
      </w:pP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8"/>
    <w:bookmarkStart w:id="29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3"/>
        </w:numPr>
      </w:pPr>
      <w:r>
        <w:t xml:space="preserve">Установили дополнительный пакет на Julia под названием DifferentialEquations</w:t>
      </w:r>
    </w:p>
    <w:p>
      <w:pPr>
        <w:numPr>
          <w:ilvl w:val="0"/>
          <w:numId w:val="1003"/>
        </w:numPr>
      </w:pPr>
      <w:r>
        <w:t xml:space="preserve">Прописали начальные данные варианта</w:t>
      </w:r>
    </w:p>
    <w:p>
      <w:pPr>
        <w:numPr>
          <w:ilvl w:val="0"/>
          <w:numId w:val="1003"/>
        </w:numPr>
      </w:pPr>
      <w:r>
        <w:t xml:space="preserve">Прописали функции: P(t), Q(t) и сами функции F(x,y,t)</w:t>
      </w:r>
    </w:p>
    <w:p>
      <w:pPr>
        <w:numPr>
          <w:ilvl w:val="0"/>
          <w:numId w:val="1003"/>
        </w:numPr>
      </w:pPr>
      <w:r>
        <w:t xml:space="preserve">Решили, используя Plots.</w:t>
      </w:r>
    </w:p>
    <w:bookmarkEnd w:id="29"/>
    <w:bookmarkStart w:id="30" w:name="листинг-программы"/>
    <w:p>
      <w:pPr>
        <w:pStyle w:val="Heading1"/>
      </w:pPr>
      <w:r>
        <w:t xml:space="preserve">Листинг программы</w:t>
      </w:r>
    </w:p>
    <w:p>
      <w:pPr>
        <w:pStyle w:val="FirstParagraph"/>
      </w:pPr>
      <w:r>
        <w:t xml:space="preserve">using Plots</w:t>
      </w:r>
      <w:r>
        <w:t xml:space="preserve"> </w:t>
      </w:r>
      <w:r>
        <w:t xml:space="preserve">using DifferentialEquations</w:t>
      </w:r>
    </w:p>
    <w:p>
      <w:pPr>
        <w:pStyle w:val="BodyText"/>
      </w:pPr>
      <w:r>
        <w:t xml:space="preserve">const x0 = 61000</w:t>
      </w:r>
      <w:r>
        <w:t xml:space="preserve"> </w:t>
      </w:r>
      <w:r>
        <w:t xml:space="preserve">const y0 = 45000</w:t>
      </w:r>
      <w:r>
        <w:t xml:space="preserve"> </w:t>
      </w:r>
      <w:r>
        <w:t xml:space="preserve">point0 = [x0, y0]</w:t>
      </w:r>
      <w:r>
        <w:t xml:space="preserve"> </w:t>
      </w:r>
      <w:r>
        <w:t xml:space="preserve">time = [0.0, 5.0]</w:t>
      </w:r>
    </w:p>
    <w:p>
      <w:pPr>
        <w:pStyle w:val="BodyText"/>
      </w:pPr>
      <w:r>
        <w:t xml:space="preserve">a1 = 0.22</w:t>
      </w:r>
      <w:r>
        <w:t xml:space="preserve"> </w:t>
      </w:r>
      <w:r>
        <w:t xml:space="preserve">b1 = 0.82</w:t>
      </w:r>
      <w:r>
        <w:t xml:space="preserve"> </w:t>
      </w:r>
      <w:r>
        <w:t xml:space="preserve">c1 = 0.45</w:t>
      </w:r>
      <w:r>
        <w:t xml:space="preserve"> </w:t>
      </w:r>
      <w:r>
        <w:t xml:space="preserve">h1 = 0.67</w:t>
      </w:r>
    </w:p>
    <w:p>
      <w:pPr>
        <w:pStyle w:val="BodyText"/>
      </w:pPr>
      <w:r>
        <w:t xml:space="preserve">a2 = 0.28</w:t>
      </w:r>
      <w:r>
        <w:t xml:space="preserve"> </w:t>
      </w:r>
      <w:r>
        <w:t xml:space="preserve">b2 = 0.83</w:t>
      </w:r>
      <w:r>
        <w:t xml:space="preserve"> </w:t>
      </w:r>
      <w:r>
        <w:t xml:space="preserve">c2 = 0.31</w:t>
      </w:r>
      <w:r>
        <w:t xml:space="preserve"> </w:t>
      </w:r>
      <w:r>
        <w:t xml:space="preserve">h2 = 0.75</w:t>
      </w:r>
    </w:p>
    <w:p>
      <w:pPr>
        <w:pStyle w:val="BodyText"/>
      </w:pPr>
      <w:r>
        <w:t xml:space="preserve">function P1(t)</w:t>
      </w:r>
      <w:r>
        <w:t xml:space="preserve"> </w:t>
      </w:r>
      <w:r>
        <w:t xml:space="preserve">return 2sin(4t)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function Q1(t)</w:t>
      </w:r>
      <w:r>
        <w:t xml:space="preserve"> </w:t>
      </w:r>
      <w:r>
        <w:t xml:space="preserve">return 2cos(4t)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function P2(t)</w:t>
      </w:r>
      <w:r>
        <w:t xml:space="preserve"> </w:t>
      </w:r>
      <w:r>
        <w:t xml:space="preserve">return 1.5sin(t)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function Q2(t)</w:t>
      </w:r>
      <w:r>
        <w:t xml:space="preserve"> </w:t>
      </w:r>
      <w:r>
        <w:t xml:space="preserve">return 1.5cos(t)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function F1(dp, point, p, t)</w:t>
      </w:r>
      <w:r>
        <w:t xml:space="preserve"> </w:t>
      </w:r>
      <w:r>
        <w:t xml:space="preserve">dp[1] = -a1</w:t>
      </w:r>
      <w:r>
        <w:rPr>
          <w:iCs/>
          <w:i/>
        </w:rPr>
        <w:t xml:space="preserve">point[1] - b1</w:t>
      </w:r>
      <w:r>
        <w:t xml:space="preserve">point[2] + P1(t)</w:t>
      </w:r>
      <w:r>
        <w:t xml:space="preserve"> </w:t>
      </w:r>
      <w:r>
        <w:t xml:space="preserve">dp[2] = -c1</w:t>
      </w:r>
      <w:r>
        <w:rPr>
          <w:iCs/>
          <w:i/>
        </w:rPr>
        <w:t xml:space="preserve">point[1] - h1</w:t>
      </w:r>
      <w:r>
        <w:t xml:space="preserve">point[2] + Q1(t)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function F2(dp, point, p, t)</w:t>
      </w:r>
      <w:r>
        <w:t xml:space="preserve"> </w:t>
      </w:r>
      <w:r>
        <w:t xml:space="preserve">dp[1] = -a2</w:t>
      </w:r>
      <w:r>
        <w:rPr>
          <w:iCs/>
          <w:i/>
        </w:rPr>
        <w:t xml:space="preserve">point[1] - b2</w:t>
      </w:r>
      <w:r>
        <w:t xml:space="preserve">point[2] + P2(t)</w:t>
      </w:r>
      <w:r>
        <w:t xml:space="preserve"> </w:t>
      </w:r>
      <w:r>
        <w:t xml:space="preserve">dp[2] = -c2</w:t>
      </w:r>
      <w:r>
        <w:rPr>
          <w:iCs/>
          <w:i/>
        </w:rPr>
        <w:t xml:space="preserve">point[1]</w:t>
      </w:r>
      <w:r>
        <w:t xml:space="preserve">point[2] - h2*point[2] + Q2(t)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t= collect( LinRange(0, 1, 100))</w:t>
      </w:r>
      <w:r>
        <w:t xml:space="preserve"> </w:t>
      </w:r>
      <w:r>
        <w:t xml:space="preserve">task1 = ODEProblem(F1, point0, time)</w:t>
      </w:r>
      <w:r>
        <w:t xml:space="preserve"> </w:t>
      </w:r>
      <w:r>
        <w:t xml:space="preserve">solution1 = solve(task1, saveat=t)</w:t>
      </w:r>
      <w:r>
        <w:t xml:space="preserve"> </w:t>
      </w:r>
      <w:r>
        <w:t xml:space="preserve">task2 = ODEProblem(F2, point0, time)</w:t>
      </w:r>
      <w:r>
        <w:t xml:space="preserve"> </w:t>
      </w:r>
      <w:r>
        <w:t xml:space="preserve">solution2 = solve(task2, saveat=t)</w:t>
      </w:r>
    </w:p>
    <w:p>
      <w:pPr>
        <w:pStyle w:val="BodyText"/>
      </w:pPr>
      <w:r>
        <w:t xml:space="preserve">plot1 = plot(solution1, color=:red, label =</w:t>
      </w:r>
      <w:r>
        <w:t xml:space="preserve"> </w:t>
      </w:r>
      <w:r>
        <w:t xml:space="preserve">“</w:t>
      </w:r>
      <w:r>
        <w:t xml:space="preserve">Численность войск армии №1</w:t>
      </w:r>
      <w:r>
        <w:t xml:space="preserve">”</w:t>
      </w:r>
      <w:r>
        <w:t xml:space="preserve">, title=</w:t>
      </w:r>
      <w:r>
        <w:t xml:space="preserve">“</w:t>
      </w:r>
      <w:r>
        <w:t xml:space="preserve">Модель боевых действий №1</w:t>
      </w:r>
      <w:r>
        <w:t xml:space="preserve">”</w:t>
      </w:r>
      <w:r>
        <w:t xml:space="preserve">, xlabel=</w:t>
      </w:r>
      <w:r>
        <w:t xml:space="preserve">“</w:t>
      </w:r>
      <w:r>
        <w:t xml:space="preserve">Время</w:t>
      </w:r>
      <w:r>
        <w:t xml:space="preserve">”</w:t>
      </w:r>
      <w:r>
        <w:t xml:space="preserve">, y=</w:t>
      </w:r>
      <w:r>
        <w:t xml:space="preserve">“</w:t>
      </w:r>
      <w:r>
        <w:t xml:space="preserve">Численность войск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plot!(solution1, color=:yellow, label =</w:t>
      </w:r>
      <w:r>
        <w:t xml:space="preserve"> </w:t>
      </w:r>
      <w:r>
        <w:t xml:space="preserve">“</w:t>
      </w:r>
      <w:r>
        <w:t xml:space="preserve">Численность войск армии №2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savefig( plot1,</w:t>
      </w:r>
      <w:r>
        <w:t xml:space="preserve"> </w:t>
      </w:r>
      <w:r>
        <w:t xml:space="preserve">“</w:t>
      </w:r>
      <w:r>
        <w:t xml:space="preserve">first_case.png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plot2 = plot(solution2, color=:red, label =</w:t>
      </w:r>
      <w:r>
        <w:t xml:space="preserve"> </w:t>
      </w:r>
      <w:r>
        <w:t xml:space="preserve">“</w:t>
      </w:r>
      <w:r>
        <w:t xml:space="preserve">Численность войск армии №1</w:t>
      </w:r>
      <w:r>
        <w:t xml:space="preserve">”</w:t>
      </w:r>
      <w:r>
        <w:t xml:space="preserve">, title=</w:t>
      </w:r>
      <w:r>
        <w:t xml:space="preserve">“</w:t>
      </w:r>
      <w:r>
        <w:t xml:space="preserve">Модель боевых действий №2</w:t>
      </w:r>
      <w:r>
        <w:t xml:space="preserve">”</w:t>
      </w:r>
      <w:r>
        <w:t xml:space="preserve">, xlabel=</w:t>
      </w:r>
      <w:r>
        <w:t xml:space="preserve">“</w:t>
      </w:r>
      <w:r>
        <w:t xml:space="preserve">Время</w:t>
      </w:r>
      <w:r>
        <w:t xml:space="preserve">”</w:t>
      </w:r>
      <w:r>
        <w:t xml:space="preserve">, y=</w:t>
      </w:r>
      <w:r>
        <w:t xml:space="preserve">“</w:t>
      </w:r>
      <w:r>
        <w:t xml:space="preserve">Численность войск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plot!(solution2, color=:yellow, label =</w:t>
      </w:r>
      <w:r>
        <w:t xml:space="preserve"> </w:t>
      </w:r>
      <w:r>
        <w:t xml:space="preserve">“</w:t>
      </w:r>
      <w:r>
        <w:t xml:space="preserve">Численность войск армии №2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savefig( plot2,</w:t>
      </w:r>
      <w:r>
        <w:t xml:space="preserve"> </w:t>
      </w:r>
      <w:r>
        <w:t xml:space="preserve">“</w:t>
      </w:r>
      <w:r>
        <w:t xml:space="preserve">second_case.png</w:t>
      </w:r>
      <w:r>
        <w:t xml:space="preserve">”</w:t>
      </w:r>
      <w:r>
        <w:t xml:space="preserve">)</w:t>
      </w:r>
    </w:p>
    <w:bookmarkEnd w:id="30"/>
    <w:bookmarkStart w:id="37" w:name="результаты-работы"/>
    <w:p>
      <w:pPr>
        <w:pStyle w:val="Heading1"/>
      </w:pPr>
      <w:r>
        <w:t xml:space="preserve">Результаты работы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Модель боевых действий 1" title="" id="32" name="Picture"/>
            <a:graphic>
              <a:graphicData uri="http://schemas.openxmlformats.org/drawingml/2006/picture">
                <pic:pic>
                  <pic:nvPicPr>
                    <pic:cNvPr descr="first_case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1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Модель боевых действий 2" title="" id="35" name="Picture"/>
            <a:graphic>
              <a:graphicData uri="http://schemas.openxmlformats.org/drawingml/2006/picture">
                <pic:pic>
                  <pic:nvPicPr>
                    <pic:cNvPr descr="second_case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боевых действий 2</w:t>
      </w:r>
    </w:p>
    <w:bookmarkEnd w:id="37"/>
    <w:bookmarkStart w:id="3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Во время выполнения лабораторной работы мы рассмотрели простейшую модель боевых действий - модель Ланчестера.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Подлесный Иван Сергеевич</dc:creator>
  <dc:language>ru-RU</dc:language>
  <cp:keywords/>
  <dcterms:created xsi:type="dcterms:W3CDTF">2024-02-22T20:08:37Z</dcterms:created>
  <dcterms:modified xsi:type="dcterms:W3CDTF">2024-02-22T20:08:37Z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Цель Работы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Ход Работы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НКНбд-01-21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