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80.jpg" ContentType="image/jpeg"/>
  <Override PartName="/word/media/rId84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Лабораторная работа № 6. Мандатное разграничение прав в Linux</w:t>
      </w:r>
    </w:p>
    <w:p>
      <w:pPr>
        <w:pStyle w:val="Author"/>
      </w:pPr>
      <w:r>
        <w:t xml:space="preserve">Подлесный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8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конфигурационном файле /etc/httpd/httpd.conf зададим параметр ServerName.</w:t>
      </w:r>
      <w:r>
        <w:t xml:space="preserve"> </w:t>
      </w:r>
      <w:r>
        <w:t xml:space="preserve">Отключим фильтр командами(рис. fig. 1)</w:t>
      </w:r>
    </w:p>
    <w:bookmarkStart w:id="24" w:name="fig:001"/>
    <w:p>
      <w:pPr>
        <w:pStyle w:val="CaptionedFigure"/>
      </w:pPr>
      <w:r>
        <w:drawing>
          <wp:inline>
            <wp:extent cx="3733800" cy="2608873"/>
            <wp:effectExtent b="0" l="0" r="0" t="0"/>
            <wp:docPr descr="Рис. 1: Подготовка лабораторного стенда" title="" id="22" name="Picture"/>
            <a:graphic>
              <a:graphicData uri="http://schemas.openxmlformats.org/drawingml/2006/picture">
                <pic:pic>
                  <pic:nvPicPr>
                    <pic:cNvPr descr="1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лабораторного стенда</w:t>
      </w:r>
    </w:p>
    <w:bookmarkEnd w:id="24"/>
    <w:p>
      <w:pPr>
        <w:pStyle w:val="BodyText"/>
      </w:pPr>
      <w:r>
        <w:t xml:space="preserve">Войдем в систему с полученными учётными данными и убедимся, что SELinux работает в режиме enforcing политики targeted с помощью команд getenforce и sestatus(рис. fig. 2).</w:t>
      </w:r>
    </w:p>
    <w:bookmarkStart w:id="28" w:name="fig:002"/>
    <w:p>
      <w:pPr>
        <w:pStyle w:val="CaptionedFigure"/>
      </w:pPr>
      <w:r>
        <w:drawing>
          <wp:inline>
            <wp:extent cx="3733800" cy="2574828"/>
            <wp:effectExtent b="0" l="0" r="0" t="0"/>
            <wp:docPr descr="Рис. 2: Проверка статуса SELinux" title="" id="26" name="Picture"/>
            <a:graphic>
              <a:graphicData uri="http://schemas.openxmlformats.org/drawingml/2006/picture">
                <pic:pic>
                  <pic:nvPicPr>
                    <pic:cNvPr descr="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статуса SELinux</w:t>
      </w:r>
    </w:p>
    <w:bookmarkEnd w:id="28"/>
    <w:p>
      <w:pPr>
        <w:pStyle w:val="BodyText"/>
      </w:pPr>
      <w:r>
        <w:t xml:space="preserve">Проверим, что веб-сервер работает (рис. fig. 3).</w:t>
      </w:r>
    </w:p>
    <w:bookmarkStart w:id="32" w:name="fig:003"/>
    <w:p>
      <w:pPr>
        <w:pStyle w:val="CaptionedFigure"/>
      </w:pPr>
      <w:r>
        <w:drawing>
          <wp:inline>
            <wp:extent cx="3733800" cy="2624396"/>
            <wp:effectExtent b="0" l="0" r="0" t="0"/>
            <wp:docPr descr="Рис. 3: Проверка статуса веб-сервера" title="" id="30" name="Picture"/>
            <a:graphic>
              <a:graphicData uri="http://schemas.openxmlformats.org/drawingml/2006/picture">
                <pic:pic>
                  <pic:nvPicPr>
                    <pic:cNvPr descr="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статуса веб-сервера</w:t>
      </w:r>
    </w:p>
    <w:bookmarkEnd w:id="32"/>
    <w:p>
      <w:pPr>
        <w:pStyle w:val="BodyText"/>
      </w:pPr>
      <w:r>
        <w:t xml:space="preserve">Найдем веб-сервер Apache в списке процессов, определим его контекст безопасности(рис. fig. 4)</w:t>
      </w:r>
    </w:p>
    <w:bookmarkStart w:id="36" w:name="fig:004"/>
    <w:p>
      <w:pPr>
        <w:pStyle w:val="CaptionedFigure"/>
      </w:pPr>
      <w:r>
        <w:drawing>
          <wp:inline>
            <wp:extent cx="3733800" cy="1570132"/>
            <wp:effectExtent b="0" l="0" r="0" t="0"/>
            <wp:docPr descr="Рис. 4: Просмотр контекста безопасности веб-сервера" title="" id="34" name="Picture"/>
            <a:graphic>
              <a:graphicData uri="http://schemas.openxmlformats.org/drawingml/2006/picture">
                <pic:pic>
                  <pic:nvPicPr>
                    <pic:cNvPr descr="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контекста безопасности веб-сервера</w:t>
      </w:r>
    </w:p>
    <w:bookmarkEnd w:id="36"/>
    <w:p>
      <w:pPr>
        <w:pStyle w:val="BodyText"/>
      </w:pPr>
      <w:r>
        <w:t xml:space="preserve">Посмотрим текущее состояние переключателей SELinux для Apache(рис. fig. 5)</w:t>
      </w:r>
    </w:p>
    <w:bookmarkStart w:id="40" w:name="fig:005"/>
    <w:p>
      <w:pPr>
        <w:pStyle w:val="CaptionedFigure"/>
      </w:pPr>
      <w:r>
        <w:drawing>
          <wp:inline>
            <wp:extent cx="3733800" cy="2199593"/>
            <wp:effectExtent b="0" l="0" r="0" t="0"/>
            <wp:docPr descr="Рис. 5: Состояние переключателей SELinux для Apache" title="" id="38" name="Picture"/>
            <a:graphic>
              <a:graphicData uri="http://schemas.openxmlformats.org/drawingml/2006/picture">
                <pic:pic>
                  <pic:nvPicPr>
                    <pic:cNvPr descr="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Состояние переключателей SELinux для Apache</w:t>
      </w:r>
    </w:p>
    <w:bookmarkEnd w:id="40"/>
    <w:p>
      <w:pPr>
        <w:pStyle w:val="BodyText"/>
      </w:pPr>
      <w:r>
        <w:t xml:space="preserve">Посмотрим статистику по политике с помощью команды seinfo(рис. fig. 6):</w:t>
      </w:r>
    </w:p>
    <w:bookmarkStart w:id="44" w:name="fig:006"/>
    <w:p>
      <w:pPr>
        <w:pStyle w:val="CaptionedFigure"/>
      </w:pPr>
      <w:r>
        <w:drawing>
          <wp:inline>
            <wp:extent cx="3733800" cy="4389155"/>
            <wp:effectExtent b="0" l="0" r="0" t="0"/>
            <wp:docPr descr="Рис. 6: Статистика по политике" title="" id="42" name="Picture"/>
            <a:graphic>
              <a:graphicData uri="http://schemas.openxmlformats.org/drawingml/2006/picture">
                <pic:pic>
                  <pic:nvPicPr>
                    <pic:cNvPr descr="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Статистика по политике</w:t>
      </w:r>
    </w:p>
    <w:bookmarkEnd w:id="44"/>
    <w:p>
      <w:pPr>
        <w:pStyle w:val="BodyText"/>
      </w:pPr>
      <w:r>
        <w:t xml:space="preserve">Определив тип файлов и поддиректорий, находящихся в директории /var/www, с помощью команды ls -lZ /var/www, увидим, что есть директория, содержащая cgi-скрипты, и директория /var/www/html, содержащая все скрипты httpd(в данный момент пустая)(рис. fig. 7):</w:t>
      </w:r>
    </w:p>
    <w:bookmarkStart w:id="48" w:name="fig:008"/>
    <w:p>
      <w:pPr>
        <w:pStyle w:val="CaptionedFigure"/>
      </w:pPr>
      <w:r>
        <w:drawing>
          <wp:inline>
            <wp:extent cx="3733800" cy="370822"/>
            <wp:effectExtent b="0" l="0" r="0" t="0"/>
            <wp:docPr descr="Рис. 7: Просмотр типов директорий в /var/www" title="" id="46" name="Picture"/>
            <a:graphic>
              <a:graphicData uri="http://schemas.openxmlformats.org/drawingml/2006/picture">
                <pic:pic>
                  <pic:nvPicPr>
                    <pic:cNvPr descr="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типов директорий в /var/www</w:t>
      </w:r>
    </w:p>
    <w:bookmarkEnd w:id="48"/>
    <w:p>
      <w:pPr>
        <w:pStyle w:val="BodyText"/>
      </w:pPr>
      <w:r>
        <w:t xml:space="preserve">Можно увидеть, что создание файлов в директории /var/www/html разрешено только владельцу – root.</w:t>
      </w:r>
    </w:p>
    <w:p>
      <w:pPr>
        <w:pStyle w:val="BodyText"/>
      </w:pPr>
      <w:r>
        <w:t xml:space="preserve">Создадим от имени суперпользователя html-файл /var/www/html/test.html следующего содержания(рис. fig. 8):</w:t>
      </w:r>
    </w:p>
    <w:bookmarkStart w:id="52" w:name="fig:009"/>
    <w:p>
      <w:pPr>
        <w:pStyle w:val="CaptionedFigure"/>
      </w:pPr>
      <w:r>
        <w:drawing>
          <wp:inline>
            <wp:extent cx="3733800" cy="2208846"/>
            <wp:effectExtent b="0" l="0" r="0" t="0"/>
            <wp:docPr descr="Рис. 8: Содержимое html-файла /var/www/html/test.html" title="" id="50" name="Picture"/>
            <a:graphic>
              <a:graphicData uri="http://schemas.openxmlformats.org/drawingml/2006/picture">
                <pic:pic>
                  <pic:nvPicPr>
                    <pic:cNvPr descr="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html-файла /var/www/html/test.html</w:t>
      </w:r>
    </w:p>
    <w:bookmarkEnd w:id="52"/>
    <w:p>
      <w:pPr>
        <w:pStyle w:val="BodyText"/>
      </w:pPr>
      <w:r>
        <w:t xml:space="preserve">Посмотрим контекст безопасности, заданный по умолчанию для html документа(fig. 9):</w:t>
      </w:r>
    </w:p>
    <w:bookmarkStart w:id="56" w:name="fig:010"/>
    <w:p>
      <w:pPr>
        <w:pStyle w:val="CaptionedFigure"/>
      </w:pPr>
      <w:r>
        <w:drawing>
          <wp:inline>
            <wp:extent cx="3733800" cy="1011739"/>
            <wp:effectExtent b="0" l="0" r="0" t="0"/>
            <wp:docPr descr="Рис. 9: Установка пароля для пользователя с правами администратора" title="" id="54" name="Picture"/>
            <a:graphic>
              <a:graphicData uri="http://schemas.openxmlformats.org/drawingml/2006/picture">
                <pic:pic>
                  <pic:nvPicPr>
                    <pic:cNvPr descr="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пароля для пользователя с правами администратора</w:t>
      </w:r>
    </w:p>
    <w:bookmarkEnd w:id="56"/>
    <w:p>
      <w:pPr>
        <w:pStyle w:val="BodyText"/>
      </w:pPr>
      <w:r>
        <w:t xml:space="preserve">Увидим, что файлам по умолчанию сопоставляется свободный пользователь SELinux unconfined_u, указана роль object_r используется по умолчанию для файлов на «постоянных» носителях и на сетевых файловых системах и тип httpd_sys_content_t, который позволяет процессу httpd получить доступ к файлу</w:t>
      </w:r>
    </w:p>
    <w:p>
      <w:pPr>
        <w:pStyle w:val="BodyText"/>
      </w:pPr>
      <w:r>
        <w:t xml:space="preserve">Обратимся к файлу через веб-сервер, введя в браузере адрес http://127.0.0.1/test.html, убедимся, что файл был успешно отображён.(рис. fig. 10):</w:t>
      </w:r>
    </w:p>
    <w:bookmarkStart w:id="60" w:name="fig:011"/>
    <w:p>
      <w:pPr>
        <w:pStyle w:val="CaptionedFigure"/>
      </w:pPr>
      <w:r>
        <w:drawing>
          <wp:inline>
            <wp:extent cx="3733800" cy="1341834"/>
            <wp:effectExtent b="0" l="0" r="0" t="0"/>
            <wp:docPr descr="Рис. 10: Открытие html-страницы через браузер" title="" id="58" name="Picture"/>
            <a:graphic>
              <a:graphicData uri="http://schemas.openxmlformats.org/drawingml/2006/picture">
                <pic:pic>
                  <pic:nvPicPr>
                    <pic:cNvPr descr="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Открытие html-страницы через браузер</w:t>
      </w:r>
    </w:p>
    <w:bookmarkEnd w:id="60"/>
    <w:p>
      <w:pPr>
        <w:pStyle w:val="BodyText"/>
      </w:pPr>
      <w:r>
        <w:t xml:space="preserve">Изучим справку man httpd_selinux (через интернет, ибо команда не работает), выясним, какие контексты файлов определены для httpd.</w:t>
      </w:r>
      <w:r>
        <w:t xml:space="preserve"> </w:t>
      </w:r>
      <w:r>
        <w:t xml:space="preserve">Сопоставив их с типом файла test.html увидим, что его контекст httpd_sys_content_t для содержимого, которое должно быть доступно для всех скриптов httpd и для самого демона.</w:t>
      </w:r>
      <w:r>
        <w:t xml:space="preserve"> </w:t>
      </w:r>
      <w:r>
        <w:t xml:space="preserve">Изменим контекст файла /var/www/html/test.html с httpd_sys_content_t на тот, к которому процесс httpd не должен иметь доступа – samba_share_t(рис. fig. 11):</w:t>
      </w:r>
    </w:p>
    <w:bookmarkStart w:id="64" w:name="fig:012"/>
    <w:p>
      <w:pPr>
        <w:pStyle w:val="CaptionedFigure"/>
      </w:pPr>
      <w:r>
        <w:drawing>
          <wp:inline>
            <wp:extent cx="3733800" cy="353290"/>
            <wp:effectExtent b="0" l="0" r="0" t="0"/>
            <wp:docPr descr="Рис. 11: Изменение контекста файла /var/www/html/test.html" title="" id="62" name="Picture"/>
            <a:graphic>
              <a:graphicData uri="http://schemas.openxmlformats.org/drawingml/2006/picture">
                <pic:pic>
                  <pic:nvPicPr>
                    <pic:cNvPr descr="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контекста файла /var/www/html/test.html</w:t>
      </w:r>
    </w:p>
    <w:bookmarkEnd w:id="64"/>
    <w:p>
      <w:pPr>
        <w:pStyle w:val="BodyText"/>
      </w:pPr>
      <w:r>
        <w:t xml:space="preserve">Теперь снова попробуем получить доступ к файлу через браузер и получим отказ(рис. fig. 12):</w:t>
      </w:r>
    </w:p>
    <w:bookmarkStart w:id="68" w:name="fig:013"/>
    <w:p>
      <w:pPr>
        <w:pStyle w:val="CaptionedFigure"/>
      </w:pPr>
      <w:r>
        <w:drawing>
          <wp:inline>
            <wp:extent cx="3733800" cy="1512705"/>
            <wp:effectExtent b="0" l="0" r="0" t="0"/>
            <wp:docPr descr="Рис. 12: Отказ в доступе к html-странице через браузер" title="" id="66" name="Picture"/>
            <a:graphic>
              <a:graphicData uri="http://schemas.openxmlformats.org/drawingml/2006/picture">
                <pic:pic>
                  <pic:nvPicPr>
                    <pic:cNvPr descr="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Отказ в доступе к html-странице через браузер</w:t>
      </w:r>
    </w:p>
    <w:bookmarkEnd w:id="68"/>
    <w:p>
      <w:pPr>
        <w:pStyle w:val="BodyText"/>
      </w:pPr>
      <w:r>
        <w:t xml:space="preserve">Посмотрим log-файлы веб-сервера Apache и системный лог-файл и увидим, что отказ происходит, так как доступ запрещен SELinux именно к веб-серверу(на просто просмтр текстовых файлов это не влияет)(рис. fig. 13):</w:t>
      </w:r>
    </w:p>
    <w:bookmarkStart w:id="72" w:name="fig:014"/>
    <w:p>
      <w:pPr>
        <w:pStyle w:val="CaptionedFigure"/>
      </w:pPr>
      <w:r>
        <w:drawing>
          <wp:inline>
            <wp:extent cx="3733800" cy="268833"/>
            <wp:effectExtent b="0" l="0" r="0" t="0"/>
            <wp:docPr descr="Рис. 13: Просмотр лог-файлов" title="" id="70" name="Picture"/>
            <a:graphic>
              <a:graphicData uri="http://schemas.openxmlformats.org/drawingml/2006/picture">
                <pic:pic>
                  <pic:nvPicPr>
                    <pic:cNvPr descr="14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лог-файлов</w:t>
      </w:r>
    </w:p>
    <w:bookmarkEnd w:id="72"/>
    <w:p>
      <w:pPr>
        <w:pStyle w:val="BodyText"/>
      </w:pPr>
      <w:r>
        <w:t xml:space="preserve">Запустим веб-сервер Apache на прослушивание ТСР-порта 81. Для этого в файле /etc/httpd/httpd.conf найдем строчку Listen 80 и заменим её на Listen 81(рис. fig. 14):</w:t>
      </w:r>
    </w:p>
    <w:bookmarkStart w:id="76" w:name="fig:015"/>
    <w:p>
      <w:pPr>
        <w:pStyle w:val="CaptionedFigure"/>
      </w:pPr>
      <w:r>
        <w:drawing>
          <wp:inline>
            <wp:extent cx="3733800" cy="2348275"/>
            <wp:effectExtent b="0" l="0" r="0" t="0"/>
            <wp:docPr descr="Рис. 14: Замена прослушиваемого порта" title="" id="74" name="Picture"/>
            <a:graphic>
              <a:graphicData uri="http://schemas.openxmlformats.org/drawingml/2006/picture">
                <pic:pic>
                  <pic:nvPicPr>
                    <pic:cNvPr descr="15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прослушиваемого порта</w:t>
      </w:r>
    </w:p>
    <w:bookmarkEnd w:id="76"/>
    <w:p>
      <w:pPr>
        <w:pStyle w:val="BodyText"/>
      </w:pPr>
      <w:r>
        <w:t xml:space="preserve">Выполним перезапуск веб-сервера Apache и не увидим изменений по не понятным мне причинам, несмотря на то, что 81 порт не является официальным портом для доступа по TCP(рис. fig. 15):</w:t>
      </w:r>
    </w:p>
    <w:bookmarkStart w:id="79" w:name="fig:016"/>
    <w:p>
      <w:pPr>
        <w:pStyle w:val="CaptionedFigure"/>
      </w:pPr>
      <w:r>
        <w:drawing>
          <wp:inline>
            <wp:extent cx="3733800" cy="1512705"/>
            <wp:effectExtent b="0" l="0" r="0" t="0"/>
            <wp:docPr descr="Рис. 15: Открытие html-страницы через браузер при прослушивании 81 порта" title="" id="77" name="Picture"/>
            <a:graphic>
              <a:graphicData uri="http://schemas.openxmlformats.org/drawingml/2006/picture">
                <pic:pic>
                  <pic:nvPicPr>
                    <pic:cNvPr descr="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Открытие html-страницы через браузер при прослушивании 81 порта</w:t>
      </w:r>
    </w:p>
    <w:bookmarkEnd w:id="79"/>
    <w:p>
      <w:pPr>
        <w:pStyle w:val="BodyText"/>
      </w:pPr>
      <w:r>
        <w:t xml:space="preserve">Просмотрев лог-файлы увидим, что порт для прослушивания был сменен(рис. fig. 16):</w:t>
      </w:r>
    </w:p>
    <w:bookmarkStart w:id="83" w:name="fig:017"/>
    <w:p>
      <w:pPr>
        <w:pStyle w:val="CaptionedFigure"/>
      </w:pPr>
      <w:r>
        <w:drawing>
          <wp:inline>
            <wp:extent cx="3733800" cy="1531737"/>
            <wp:effectExtent b="0" l="0" r="0" t="0"/>
            <wp:docPr descr="Рис. 16: Просмотр лог-файлов" title="" id="81" name="Picture"/>
            <a:graphic>
              <a:graphicData uri="http://schemas.openxmlformats.org/drawingml/2006/picture">
                <pic:pic>
                  <pic:nvPicPr>
                    <pic:cNvPr descr="17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лог-файлов</w:t>
      </w:r>
    </w:p>
    <w:bookmarkEnd w:id="83"/>
    <w:p>
      <w:pPr>
        <w:pStyle w:val="BodyText"/>
      </w:pPr>
      <w:r>
        <w:t xml:space="preserve">Также этот порт мог быть отключен, тогда мы бы совсем не видели страницу, добавлять порты и просматривать актуальные можно с помощью команды seamanage(рис. fig. 17):</w:t>
      </w:r>
    </w:p>
    <w:bookmarkStart w:id="87" w:name="fig:018"/>
    <w:p>
      <w:pPr>
        <w:pStyle w:val="CaptionedFigure"/>
      </w:pPr>
      <w:r>
        <w:drawing>
          <wp:inline>
            <wp:extent cx="3733800" cy="300628"/>
            <wp:effectExtent b="0" l="0" r="0" t="0"/>
            <wp:docPr descr="Рис. 17: Просмотр портов с помощью seamnage" title="" id="85" name="Picture"/>
            <a:graphic>
              <a:graphicData uri="http://schemas.openxmlformats.org/drawingml/2006/picture">
                <pic:pic>
                  <pic:nvPicPr>
                    <pic:cNvPr descr="18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Просмотр портов с помощью seamnage</w:t>
      </w:r>
    </w:p>
    <w:bookmarkEnd w:id="87"/>
    <w:bookmarkEnd w:id="88"/>
    <w:bookmarkStart w:id="8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получены базовые навыки работы с технологией SELinux. Проверена работа SELinx на практике совместно с веб-сервером Apache.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2024-10-12T12:35:29Z</dcterms:created>
  <dcterms:modified xsi:type="dcterms:W3CDTF">2024-10-12T12:35:29Z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6. Мандатное разграничение прав в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