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DVWA на Kali Linux.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— это намеренно уязвимое веб-приложение на PHP/MySQL. Цель проекта — помочь этичным хакерам и специалистам ИБ отточить свои навыки и протестировать инструменты.</w:t>
      </w:r>
    </w:p>
    <w:p>
      <w:pPr>
        <w:pStyle w:val="BodyText"/>
      </w:pPr>
      <w:r>
        <w:t xml:space="preserve">DVWA также может помочь веб-разработчикам и изучающим ИБ, лучше понять процесс безопасности веб-приложений.</w:t>
      </w:r>
    </w:p>
    <w:bookmarkEnd w:id="21"/>
    <w:bookmarkStart w:id="4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Установим низкий уровень защиты DVWA(рис. fig. 1)</w:t>
      </w:r>
    </w:p>
    <w:p>
      <w:pPr>
        <w:pStyle w:val="CaptionedFigure"/>
      </w:pPr>
      <w:r>
        <w:drawing>
          <wp:inline>
            <wp:extent cx="3733800" cy="2356180"/>
            <wp:effectExtent b="0" l="0" r="0" t="0"/>
            <wp:docPr descr="Уровень защиты DVWA" title="" id="23" name="Picture"/>
            <a:graphic>
              <a:graphicData uri="http://schemas.openxmlformats.org/drawingml/2006/picture">
                <pic:pic>
                  <pic:nvPicPr>
                    <pic:cNvPr descr="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Уровень защиты DVWA</w:t>
      </w:r>
    </w:p>
    <w:p>
      <w:pPr>
        <w:pStyle w:val="BodyText"/>
      </w:pPr>
      <w:r>
        <w:t xml:space="preserve">Откроем страницу для проведения атаки brute force(рис. fig. 2).</w:t>
      </w:r>
    </w:p>
    <w:p>
      <w:pPr>
        <w:pStyle w:val="CaptionedFigure"/>
      </w:pPr>
      <w:r>
        <w:drawing>
          <wp:inline>
            <wp:extent cx="3733800" cy="2952306"/>
            <wp:effectExtent b="0" l="0" r="0" t="0"/>
            <wp:docPr descr="Форма для ввода пароля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Форма для ввода пароля</w:t>
      </w:r>
    </w:p>
    <w:p>
      <w:pPr>
        <w:pStyle w:val="BodyText"/>
      </w:pPr>
      <w:r>
        <w:t xml:space="preserve">В Kali лежит файл с наиболее популярными паролями, распакуем его и увидим, что уже в начале есть пароль, который установлен по умолчанию для нашего аккаунта(рис. fig. 3, fig. 4).</w:t>
      </w:r>
    </w:p>
    <w:p>
      <w:pPr>
        <w:pStyle w:val="CaptionedFigure"/>
      </w:pPr>
      <w:r>
        <w:drawing>
          <wp:inline>
            <wp:extent cx="3733800" cy="2637328"/>
            <wp:effectExtent b="0" l="0" r="0" t="0"/>
            <wp:docPr descr="Вывод из файла rockyou.txt 10 наиболее популярных паролей" title="" id="29" name="Picture"/>
            <a:graphic>
              <a:graphicData uri="http://schemas.openxmlformats.org/drawingml/2006/picture">
                <pic:pic>
                  <pic:nvPicPr>
                    <pic:cNvPr descr="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из файла rockyou.txt 10 наиболее популярных паролей</w:t>
      </w:r>
    </w:p>
    <w:p>
      <w:pPr>
        <w:pStyle w:val="BodyText"/>
      </w:pPr>
      <w:r>
        <w:t xml:space="preserve">Рассмотрим данные о запросе на вход(рис. fig. 4).</w:t>
      </w:r>
    </w:p>
    <w:p>
      <w:pPr>
        <w:pStyle w:val="CaptionedFigure"/>
      </w:pPr>
      <w:r>
        <w:drawing>
          <wp:inline>
            <wp:extent cx="3733800" cy="3357081"/>
            <wp:effectExtent b="0" l="0" r="0" t="0"/>
            <wp:docPr descr="Данные о запросе на вход" title="" id="32" name="Picture"/>
            <a:graphic>
              <a:graphicData uri="http://schemas.openxmlformats.org/drawingml/2006/picture">
                <pic:pic>
                  <pic:nvPicPr>
                    <pic:cNvPr descr="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Данные о запросе на вход</w:t>
      </w:r>
    </w:p>
    <w:p>
      <w:pPr>
        <w:pStyle w:val="BodyText"/>
      </w:pPr>
      <w:r>
        <w:t xml:space="preserve">Исходные данные:</w:t>
      </w:r>
    </w:p>
    <w:p>
      <w:pPr>
        <w:pStyle w:val="Compact"/>
        <w:numPr>
          <w:ilvl w:val="0"/>
          <w:numId w:val="1001"/>
        </w:numPr>
      </w:pPr>
      <w:r>
        <w:t xml:space="preserve">IP сервера 127.0.0.1(localhost);</w:t>
      </w:r>
    </w:p>
    <w:p>
      <w:pPr>
        <w:pStyle w:val="Compact"/>
        <w:numPr>
          <w:ilvl w:val="0"/>
          <w:numId w:val="1001"/>
        </w:numPr>
      </w:pPr>
      <w:r>
        <w:t xml:space="preserve">Для авторизации используется html форма, которая отправляет по адресу http://localhost/DVWA/vulnerabilities/brute методом GET запрос вида username=admin&amp;password=test_password;</w:t>
      </w:r>
    </w:p>
    <w:p>
      <w:pPr>
        <w:pStyle w:val="Compact"/>
        <w:numPr>
          <w:ilvl w:val="0"/>
          <w:numId w:val="1001"/>
        </w:numPr>
      </w:pPr>
      <w:r>
        <w:t xml:space="preserve">В случае неудачной аутентификации пользователь наблюдает сообщение Username and/or password incorrect.</w:t>
      </w:r>
    </w:p>
    <w:p>
      <w:pPr>
        <w:pStyle w:val="FirstParagraph"/>
      </w:pPr>
      <w:r>
        <w:t xml:space="preserve">Запрос к Hydra будет следующим образом(рис. fig. 5):</w:t>
      </w:r>
    </w:p>
    <w:p>
      <w:pPr>
        <w:pStyle w:val="CaptionedFigure"/>
      </w:pPr>
      <w:r>
        <w:drawing>
          <wp:inline>
            <wp:extent cx="3733800" cy="606742"/>
            <wp:effectExtent b="0" l="0" r="0" t="0"/>
            <wp:docPr descr="Запрос к Hydra" title="" id="35" name="Picture"/>
            <a:graphic>
              <a:graphicData uri="http://schemas.openxmlformats.org/drawingml/2006/picture">
                <pic:pic>
                  <pic:nvPicPr>
                    <pic:cNvPr descr="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Запрос к Hydra</w:t>
      </w:r>
    </w:p>
    <w:p>
      <w:pPr>
        <w:pStyle w:val="BodyText"/>
      </w:pPr>
      <w:r>
        <w:t xml:space="preserve">В результате получим нужный пароль(рис. fig. 6):</w:t>
      </w:r>
    </w:p>
    <w:p>
      <w:pPr>
        <w:pStyle w:val="CaptionedFigure"/>
      </w:pPr>
      <w:r>
        <w:drawing>
          <wp:inline>
            <wp:extent cx="3733800" cy="2419814"/>
            <wp:effectExtent b="0" l="0" r="0" t="0"/>
            <wp:docPr descr="Проверка полученного пароля" title="" id="38" name="Picture"/>
            <a:graphic>
              <a:graphicData uri="http://schemas.openxmlformats.org/drawingml/2006/picture">
                <pic:pic>
                  <pic:nvPicPr>
                    <pic:cNvPr descr="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полученного пароля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была успешно проведена brute-force атака на приложение DVWA.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2024-09-28T12:58:55Z</dcterms:created>
  <dcterms:modified xsi:type="dcterms:W3CDTF">2024-09-28T12:58:55Z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Индивидуальный проект. Этап № 3. Использование Hydra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