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backend</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0.0.1-SNAPSHOT</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2024-11-30</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backend.</w:t>
      </w:r>
    </w:p>
    <w:p w:rsidR="00BB4162" w:rsidRDefault="00BB4162" w:rsidP="00426961">
      <w:pPr>
        <w:rPr>
          <w:lang w:val="en-US"/>
        </w:rPr>
      </w:pPr>
      <w:r>
        <w:rPr>
          <w:lang w:val="en-US"/>
        </w:rPr>
        <w:t>Pingeso</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AZNrmCLoxUS2_b0QqNN-.json; AZNrmCPSxUS2_b0QqNXm.json;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100.0 %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9.7 %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193.0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99.8</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18</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100.0 %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0h 36min</w:t>
            </w:r>
          </w:p>
        </w:tc>
        <w:tc>
          <w:p>
            <w:r>
              <w:t>0d 0h 36min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3.0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27.0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100.0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56.0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39.0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343.0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20.5</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343</w:t>
            </w:r>
          </w:p>
        </w:tc>
      </w:tr>
      <w:tr>
        <w:tc>
          <w:p>
            <w:r>
              <w:t>XML</w:t>
            </w:r>
          </w:p>
        </w:tc>
        <w:tc>
          <w:p>
            <w:r>
              <w:t>178</w:t>
            </w:r>
          </w:p>
        </w:tc>
      </w:tr>
      <w:tr>
        <w:tc>
          <w:p>
            <w:r>
              <w:t>Total</w:t>
            </w:r>
          </w:p>
        </w:tc>
        <w:tc>
          <w:p>
            <w:r>
              <w:t>521</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2</w:t>
            </w:r>
          </w:p>
        </w:tc>
        <w:tc>
          <w:p>
            <w:r>
              <w:t>0</w:t>
            </w:r>
          </w:p>
        </w:tc>
        <w:tc>
          <w:p>
            <w:r>
              <w:t>2</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Try-with-resources should be used</w:t>
            </w:r>
          </w:p>
        </w:tc>
        <w:tc>
          <w:p>
            <w:r>
              <w:t xml:space="preserve">Java 7 introduced the try-with-resources statement, which guarantees that the resource in question will be closed. Since the new syntax is closer
to bullet-proof, it should be preferred over the older try/catch/finally version.
This rule checks that close-able resources are opened in a try-with-resources statement.
Note that this rule is automatically disabled when the project’s sonar.java.source is lower than 7.
Noncompliant Code Example
FileReader fr = null;
BufferedReader br = null;
try {
  fr = new FileReader(fileName);
  br = new BufferedReader(fr);
  return br.readLine();
} catch (...) {
} finally {
  if (br != null) {
    try {
      br.close();
    } catch(IOException e){...}
  }
  if (fr != null ) {
    try {
      br.close();
    } catch(IOException e){...}
  }
}
Compliant Solution
try (
    FileReader fr = new FileReader(fileName);
    BufferedReader br = new BufferedReader(fr)
  ) {
  return br.readLine();
}
catch (...) {}
or
try (BufferedReader br =
        new BufferedReader(new FileReader(fileName))) { // no need to name intermediate resources if you don't want to
  return br.readLine();
}
catch (...) {}
See
   CERT, ERR54-J. - Use a try-with-resources statement to safely handle closeable
  resources 
</w:t>
            </w:r>
          </w:p>
        </w:tc>
        <w:tc>
          <w:p>
            <w:r>
              <w:t>CODE_SMELL</w:t>
            </w:r>
          </w:p>
        </w:tc>
        <w:tc>
          <w:p>
            <w:r>
              <w:t>CRITICAL</w:t>
            </w:r>
          </w:p>
        </w:tc>
        <w:tc>
          <w:p>
            <w:r>
              <w:t>1</w:t>
            </w:r>
          </w:p>
        </w:tc>
      </w:tr>
      <w:tr>
        <w:tc>
          <w:p>
            <w:r>
              <w:t>Cognitive Complexity of methods should not be too high</w:t>
            </w:r>
          </w:p>
        </w:tc>
        <w:tc>
          <w:p>
            <w:r>
              <w:t xml:space="preserve">Cognitive Complexity is a measure of how hard the control flow of a method is to understand. Methods with high Cognitive Complexity will be
difficult to maintain.
Exceptions
equals and hashCode methods are ignored because they might be automatically generated and might end up being difficult to
understand, especially in presence of many fields.
See
   Cognitive Complexity 
</w:t>
            </w:r>
          </w:p>
        </w:tc>
        <w:tc>
          <w:p>
            <w:r>
              <w:t>CODE_SMELL</w:t>
            </w:r>
          </w:p>
        </w:tc>
        <w:tc>
          <w:p>
            <w:r>
              <w:t>CRITICAL</w:t>
            </w:r>
          </w:p>
        </w:tc>
        <w:tc>
          <w:p>
            <w:r>
              <w:t>1</w:t>
            </w:r>
          </w:p>
        </w:tc>
      </w:tr>
      <w:tr>
        <w:tc>
          <w:p>
            <w:r>
              <w:t>Strings should not be concatenated using '+' in a loop</w:t>
            </w:r>
          </w:p>
        </w:tc>
        <w:tc>
          <w:p>
            <w:r>
              <w:t xml:space="preserve">Strings are immutable objects, so concatenation doesn’t simply add the new String to the end of the existing string. Instead, in each loop
iteration, the first String is converted to an intermediate object type, the second string is appended, and then the intermediate object is converted
back to a String. Further, performance of these intermediate operations degrades as the String gets longer. Therefore, the use of StringBuilder is
preferred.
Noncompliant Code Example
String str = "";
for (int i = 0; i &amp;lt; arrayOfStrings.length ; ++i) {
  str = str + arrayOfStrings[i];
}
Compliant Solution
StringBuilder bld = new StringBuilder();
  for (int i = 0; i &amp;lt; arrayOfStrings.length; ++i) {
    bld.append(arrayOfStrings[i]);
  }
  String str = bld.toString();
</w:t>
            </w:r>
          </w:p>
        </w:tc>
        <w:tc>
          <w:p>
            <w:r>
              <w:t>CODE_SMELL</w:t>
            </w:r>
          </w:p>
        </w:tc>
        <w:tc>
          <w:p>
            <w:r>
              <w:t>MINOR</w:t>
            </w:r>
          </w:p>
        </w:tc>
        <w:tc>
          <w:p>
            <w:r>
              <w:t>1</w:t>
            </w:r>
          </w:p>
        </w:tc>
      </w:tr>
      <w:tr>
        <w:tc>
          <w:p>
            <w:r>
              <w:t>"StandardCharsets" constants should be preferred</w:t>
            </w:r>
          </w:p>
        </w:tc>
        <w:tc>
          <w:p>
            <w:r>
              <w:t xml:space="preserve">JDK7 introduced the class java.nio.charset.StandardCharsets. It provides constants for all charsets that are guaranteed to be
available on every implementation of the Java platform.
   ISO_8859_1 
   US_ASCII 
   UTF_16 
   UTF_16BE 
   UTF_16LE 
   UTF_8 
These constants should be preferred to:
   the use of a String such as "UTF-8" which has the drawback of requiring the catch/throw of an
  UnsupportedEncodingException that will never actually happen 
   the use of Guava’s Charsets class, which has been obsolete since JDK7 
Noncompliant Code Example
try {
  byte[] bytes = string.getBytes("UTF-8"); // Noncompliant; use a String instead of StandardCharsets.UTF_8
} catch (UnsupportedEncodingException e) {
  throw new AssertionError(e);
}
// ...
byte[] bytes = string.getBytes(Charsets.UTF_8); // Noncompliant; Guava way obsolete since JDK7
Compliant Solution
byte[] bytes = string.getBytes(StandardCharsets.UTF_8)
</w:t>
            </w:r>
          </w:p>
        </w:tc>
        <w:tc>
          <w:p>
            <w:r>
              <w:t>CODE_SMELL</w:t>
            </w:r>
          </w:p>
        </w:tc>
        <w:tc>
          <w:p>
            <w:r>
              <w:t>MINOR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1</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Insecure Configuration</w:t>
            </w:r>
          </w:p>
        </w:tc>
        <w:tc>
          <w:p>
            <w:r>
              <w:t>Having a permissive Cross-Origin Resource Sharing policy is security-sensitive</w:t>
            </w:r>
          </w:p>
        </w:tc>
        <w:tc>
          <w:p>
            <w:r>
              <w:t>LOW</w:t>
            </w:r>
          </w:p>
        </w:tc>
        <w:tc>
          <w:p>
            <w:r>
              <w:t>MINOR</w:t>
            </w:r>
          </w:p>
        </w:tc>
        <w:tc>
          <w:p>
            <w:r>
              <w:t>1</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backend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2</c:v>
                </c:pt>
                <c:pt idx="2">
                  <c:v>0</c:v>
                </c:pt>
                <c:pt idx="3">
                  <c:v>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4</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45623.06537037037</c:v>
                </c:pt>
                <c:pt idx="1">
                  <c:v>45626.04552083334</c:v>
                </c:pt>
                <c:pt idx="2">
                  <c:v>45626.0503125</c:v>
                </c:pt>
                <c:pt idx="3">
                  <c:v>45626.055</c:v>
                </c:pt>
                <c:pt idx="4">
                  <c:v>45626.67296296296</c:v>
                </c:pt>
                <c:pt idx="5">
                  <c:v>45626.67938657408</c:v>
                </c:pt>
                <c:pt idx="6">
                  <c:v>45626.685</c:v>
                </c:pt>
                <c:pt idx="7">
                  <c:v>45626.69054398148</c:v>
                </c:pt>
                <c:pt idx="8">
                  <c:v>45626.69971064815</c:v>
                </c:pt>
                <c:pt idx="9">
                  <c:v>45626.70627314815</c:v>
                </c:pt>
              </c:numCache>
            </c:numRef>
          </c:xVal>
          <c:yVal>
            <c:numRef>
              <c:f>Feuil1!$B$2:$B$3</c:f>
              <c:numCache>
                <c:formatCode>General</c:formatCode>
                <c:ptCount val="2"/>
                <c:pt idx="0">
                  <c:v>4</c:v>
                </c:pt>
                <c:pt idx="1">
                  <c:v>4</c:v>
                </c:pt>
                <c:pt idx="2">
                  <c:v>4</c:v>
                </c:pt>
                <c:pt idx="3">
                  <c:v>4</c:v>
                </c:pt>
                <c:pt idx="4">
                  <c:v>4</c:v>
                </c:pt>
                <c:pt idx="5">
                  <c:v>4</c:v>
                </c:pt>
                <c:pt idx="6">
                  <c:v>4</c:v>
                </c:pt>
                <c:pt idx="7">
                  <c:v>4</c:v>
                </c:pt>
                <c:pt idx="8">
                  <c:v>4</c:v>
                </c:pt>
                <c:pt idx="9">
                  <c:v>4</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45623.06537037037</c:v>
                </c:pt>
                <c:pt idx="1">
                  <c:v>45626.04552083334</c:v>
                </c:pt>
                <c:pt idx="2">
                  <c:v>45626.0503125</c:v>
                </c:pt>
                <c:pt idx="3">
                  <c:v>45626.055</c:v>
                </c:pt>
                <c:pt idx="4">
                  <c:v>45626.67296296296</c:v>
                </c:pt>
                <c:pt idx="5">
                  <c:v>45626.67938657408</c:v>
                </c:pt>
                <c:pt idx="6">
                  <c:v>45626.685</c:v>
                </c:pt>
                <c:pt idx="7">
                  <c:v>45626.69054398148</c:v>
                </c:pt>
                <c:pt idx="8">
                  <c:v>45626.69971064815</c:v>
                </c:pt>
                <c:pt idx="9">
                  <c:v>45626.70627314815</c:v>
                </c:pt>
              </c:numCache>
            </c:numRef>
          </c:xVal>
          <c:yVal>
            <c:numRef>
              <c:f>Feuil1!$B$2:$B$3</c:f>
              <c:numCache>
                <c:formatCode>General</c:formatCode>
                <c:ptCount val="2"/>
                <c:pt idx="0">
                  <c:v>0.2</c:v>
                </c:pt>
                <c:pt idx="1">
                  <c:v>0.2</c:v>
                </c:pt>
                <c:pt idx="2">
                  <c:v>0.2</c:v>
                </c:pt>
                <c:pt idx="3">
                  <c:v>0.2</c:v>
                </c:pt>
                <c:pt idx="4">
                  <c:v>0.2</c:v>
                </c:pt>
                <c:pt idx="5">
                  <c:v>0.2</c:v>
                </c:pt>
                <c:pt idx="6">
                  <c:v>0.2</c:v>
                </c:pt>
                <c:pt idx="7">
                  <c:v>0.2</c:v>
                </c:pt>
                <c:pt idx="8">
                  <c:v>0.2</c:v>
                </c:pt>
                <c:pt idx="9">
                  <c:v>0.2</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