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94"/>
        <w:gridCol w:w="6750"/>
      </w:tblGrid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Anzahl der Parkmünzen oder des Geldes im Automaten einstellen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Neue Parkmünzen und/oder Geld wird in dem Automate hinzugefügt, um weitere Ticktes zu ziehen.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Mitarbeiter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Einer der zwei Knöpfe zum Auffüllen des Geldes oder der Parkmünzen auf dem Startbildschirm wird gedrückt.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In einem Dialog können etweder die Münzen oder die Parkmünzen per Schieberegler oder per Tastatureingabe eingestellt werden.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Dialog wird über das drücken von Speichern beendet und die gemachten Änderungen werden in der Datenbank vermerkt.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Falls Veränderungen gespeichert wurden, werden diese nun in der Datenbank mit dem aktuellen Mitarbeiternamen dokumentiert.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Wird der Knopf "Abbrechen" oder "Zurück" benutzt, so wird der Dialog auch beendet, jedoch werden die Veränderungen nicht in der Datenbank vermerkt.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Bemerkung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Es könnne maximal 100 Münzen je Sorte eingegeben werden, dies gilt auch für Parkmünzen.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2016-03-26T10:51:31Z</dcterms:created>
  <dc:language>de-DE</dc:language>
  <dcterms:modified xsi:type="dcterms:W3CDTF">2016-03-26T11:24:58Z</dcterms:modified>
  <cp:revision>3</cp:revision>
</cp:coreProperties>
</file>