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СОП оценка трансфекции (v1.2)</w:t>
      </w:r>
    </w:p>
    <w:p>
      <w:r>
        <w:t>Дата: 01.09.2026</w:t>
      </w:r>
    </w:p>
    <w:p/>
    <w:p>
      <w:r>
        <w:t>Раздел 3. Критерии успешности</w:t>
      </w:r>
    </w:p>
    <w:p>
      <w:r>
        <w:t>Трансфекция признаётся удачной только при одновременном достижении пороговых долей RFP- и eGFP-положительных клеток. Пороговые значения приведены в разделе «Методы» отчёта 2026_Отчёт_BAF.pdf. Выполнение только одного из двух условий недостаточно.</w:t>
      </w:r>
    </w:p>
    <w:p/>
    <w:p>
      <w:r>
        <w:t>Раздел 4. Иммуноблоттинг (справочно)</w:t>
      </w:r>
    </w:p>
    <w:p>
      <w:r>
        <w:t>Разведение вторичного антитела: 1:10000.</w:t>
      </w:r>
    </w:p>
    <w:p>
      <w:r>
        <w:t>Разведение первичного антитела задаётся для каждой постановки отдельно и фиксируется на скане геля ответственным сотрудником.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