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Положение о претензионной работе</w:t>
      </w:r>
    </w:p>
    <w:p>
      <w:r>
        <w:t>ООО «Ладога-Монтаж»</w:t>
      </w:r>
    </w:p>
    <w:p>
      <w:r>
        <w:t>Утверждено приказом от 10.12.2025</w:t>
      </w:r>
    </w:p>
    <w:p/>
    <w:p>
      <w:r>
        <w:t>1. Общие положения</w:t>
      </w:r>
    </w:p>
    <w:p>
      <w:r>
        <w:t>1.1. Настоящее Положение определяет порядок подготовки и направления претензий контрагентам.</w:t>
      </w:r>
    </w:p>
    <w:p>
      <w:r>
        <w:t>1.2. Претензионная работа ведётся отделом закупок совместно с юридической службой.</w:t>
        <w:br w:type="page"/>
      </w:r>
    </w:p>
    <w:p>
      <w:r>
        <w:t>2. Сроки направления претензий о неустойке</w:t>
      </w:r>
    </w:p>
    <w:p>
      <w:r>
        <w:t>2.3. Претензия о неустойке за просрочку поставки направляется в течение 10 рабочих дней со следующего рабочего дня после даты фактической поставки; последний день срока включается. Рабочие дни определяются по производственному календарю Покупателя.</w:t>
      </w:r>
    </w:p>
    <w:p>
      <w:r>
        <w:t>2.4. Претензии, направленные после срока, не принимаются, неустойка списывается.</w:t>
      </w:r>
    </w:p>
    <w:p/>
    <w:p>
      <w:r>
        <w:t>3. Оформление</w:t>
      </w:r>
    </w:p>
    <w:p>
      <w:r>
        <w:t>3.1. Претензия должна содержать номер, дату, сумму требования и основания расчёта.</w:t>
      </w:r>
    </w:p>
    <w:p>
      <w:r>
        <w:t>3.2. Проект претензии без даты, номера и отметки об отправке не считается направленной претензией.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