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Регламент ежегодных отпусков (редакция v3)</w:t>
      </w:r>
    </w:p>
    <w:p>
      <w:r>
        <w:t>Дата: 01.04.2026</w:t>
      </w:r>
    </w:p>
    <w:p>
      <w:r>
        <w:t>Настоящий документ регулирует предоставление ежегодных оплачиваемых отпусков.</w:t>
      </w:r>
    </w:p>
    <w:p>
      <w:r>
        <w:t>К командировочным расходам и лимитам такси не применяется.</w:t>
      </w:r>
    </w:p>
    <w:p>
      <w:r>
        <w:t>Минимальная продолжительность отпуска — 28 календарных дней.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2026-01-01T00:00:00Z</dcterms:created>
  <dcterms:modified xsi:type="dcterms:W3CDTF">2026-01-01T00:00:00Z</dcterms:modified>
  <cp:category/>
</cp:coreProperties>
</file>