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служебного автотранспорта (редакция v1)</w:t>
      </w:r>
    </w:p>
    <w:p>
      <w:r>
        <w:t>Дата: 01.03.2026</w:t>
      </w:r>
    </w:p>
    <w:p>
      <w:r>
        <w:t>Правила использования корпоративных автомобилей.</w:t>
      </w:r>
    </w:p>
    <w:p>
      <w:r>
        <w:t>Такси из личных расходов регулируется Регламентом командировок, а не настоящим документом.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