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HR: график отпусков на апрель 2026</w:t>
      </w:r>
    </w:p>
    <w:p>
      <w:r>
        <w:t>от 03.04.2026  Исх. HR-19</w:t>
        <w:br w:type="page"/>
      </w:r>
    </w:p>
    <w:p>
      <w:r>
        <w:t>Просим руководителей подразделений согласовать желаемые даты отпусков работников до 20.04.2026 и направить сводку в HR.</w:t>
      </w:r>
    </w:p>
    <w:p>
      <w:r>
        <w:t>Письмо не относится к теме командировочных расходов и не содержит сумм АО.</w:t>
        <w:br w:type="page"/>
      </w:r>
    </w:p>
    <w:p>
      <w:r>
        <w:t>Напоминаем про остатки отпусков прошлого года и про запрет ухода в отпуск без оформленного приказа.</w:t>
      </w:r>
    </w:p>
    <w:p>
      <w:r>
        <w:t>Шаблон заявки — во вложении к рассылке (в настоящей папке не дублируется).</w:t>
      </w:r>
    </w:p>
    <w:p>
      <w:r>
        <w:t>Отдел персонала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