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РЕГЛАМЕНТ сверки авансовых отчётов по командировкам (редакция v1)</w:t>
      </w:r>
    </w:p>
    <w:p>
      <w:r>
        <w:t>Утверждён локальным актом организации. Дата редакции: 15.01.2025.</w:t>
        <w:br w:type="page"/>
      </w:r>
    </w:p>
    <w:p>
      <w:r>
        <w:t>Содержание</w:t>
      </w:r>
    </w:p>
    <w:p>
      <w:r>
        <w:t>1. Общие положения</w:t>
      </w:r>
    </w:p>
    <w:p>
      <w:r>
        <w:t>2. Термины и сокращения</w:t>
      </w:r>
    </w:p>
    <w:p>
      <w:r>
        <w:t>3. Документооборот и сроки</w:t>
      </w:r>
    </w:p>
    <w:p>
      <w:r>
        <w:t>4. Правила сверки сумм</w:t>
      </w:r>
    </w:p>
    <w:p>
      <w:r>
        <w:t>5. Хранение и ответственность</w:t>
      </w:r>
    </w:p>
    <w:p>
      <w:r>
        <w:t>6. Заключительные положения</w:t>
      </w:r>
    </w:p>
    <w:p>
      <w:r>
        <w:t>Приложение. Типовые ошибки при оформлении</w:t>
        <w:br w:type="page"/>
      </w:r>
    </w:p>
    <w:p>
      <w:r>
        <w:t>1. Общие положения</w:t>
      </w:r>
    </w:p>
    <w:p>
      <w:r>
        <w:t>1.1. Настоящий регламент устанавливает единый порядок сверки авансовых отчётов работников ООО «Гидропривод НТ».</w:t>
      </w:r>
    </w:p>
    <w:p>
      <w:r>
        <w:t>1.2. Регламент применяется ко всем проектам Общества, если иное не установлено приказом генерального директора или отдельным письмом по проекту.</w:t>
      </w:r>
    </w:p>
    <w:p>
      <w:r>
        <w:t>1.3. Цель — обеспечить сопоставимость сумм, указанных в реестре командировочных расходов, с первичными платёжными документами и исключить принятие к учёту неподтверждённых расходов.</w:t>
      </w:r>
    </w:p>
    <w:p>
      <w:r>
        <w:t>1.4. Сверка выполняется отделом командировок совместно с бухгалтерией. Результаты фиксируются в отчёте сверки и при необходимости эскалируются руководителю проекта.</w:t>
      </w:r>
    </w:p>
    <w:p>
      <w:r>
        <w:t>1.5. Настоящий документ не заменяет налоговое законодательство и внутреннюю учётную политику. При расхождении приоритет имеют нормы законодательства РФ.</w:t>
        <w:br w:type="page"/>
      </w:r>
    </w:p>
    <w:p>
      <w:r>
        <w:t>2. Термины и сокращения</w:t>
      </w:r>
    </w:p>
    <w:p>
      <w:r>
        <w:t>2.1. Авансовый отчёт (АО) — документ работника о расходовании подотчётных сумм.</w:t>
      </w:r>
    </w:p>
    <w:p>
      <w:r>
        <w:t>2.2. Реестр — таблица по проекту, содержащая суммы проживания и суточных по авансовым отчётам.</w:t>
      </w:r>
    </w:p>
    <w:p>
      <w:r>
        <w:t>2.3. Чек — кассовый (или приравненный) документ с итоговой суммой к оплате. Плановая смета и заявка на командировку чеком не являются.</w:t>
      </w:r>
    </w:p>
    <w:p>
      <w:r>
        <w:t>2.4. Сутки проживания равны числу ночей в месте командировки.</w:t>
      </w:r>
    </w:p>
    <w:p>
      <w:r>
        <w:t>2.5. Проект — код объекта (например, отдельный договор/площадка). Сравнение строк разных проектов по совпадению номера командировки не допускается.</w:t>
      </w:r>
    </w:p>
    <w:p>
      <w:r>
        <w:t>2.6. Согласование превышения лимита — отдельное подписанное письмо. Черновик запроса согласованием не признаётся.</w:t>
        <w:br w:type="page"/>
      </w:r>
    </w:p>
    <w:p>
      <w:r>
        <w:t>3. Документооборот и сроки</w:t>
      </w:r>
    </w:p>
    <w:p>
      <w:r>
        <w:t>3.1. Работник сдаёт авансовый отчёт не позднее пяти рабочих дней после возвращения.</w:t>
      </w:r>
    </w:p>
    <w:p>
      <w:r>
        <w:t>3.2. К отчёту прилагаются: приказ о направлении (при наличии), проездные документы, чеки проживания и транспорта, акт выполненных работ (если предусмотрен договором).</w:t>
      </w:r>
    </w:p>
    <w:p>
      <w:r>
        <w:t>3.3. Отдел командировок проверяет комплектность, бухгалтерия — арифметику и соответствие действующему регламенту.</w:t>
      </w:r>
    </w:p>
    <w:p>
      <w:r>
        <w:t>3.4. Неполный комплект не даёт права подставлять плановые суммы вместо фактических.</w:t>
      </w:r>
    </w:p>
    <w:p>
      <w:r>
        <w:t>3.5. Реестры ведутся раздельно по проектам. Имя файла не является достаточным признаком проекта: используется колонка «Проект» внутри файла.</w:t>
      </w:r>
    </w:p>
    <w:p>
      <w:r>
        <w:t>3.6. Сканы и изображения допускаются, если на них читаемы обязательные реквизиты. Дата, присутствующая только на скане, не дублируется в текстовых выгрузках автоматически.</w:t>
        <w:br w:type="page"/>
      </w:r>
    </w:p>
    <w:p>
      <w:r>
        <w:t>Статус настоящей редакции: утратил силу с 01.04.2026.</w:t>
      </w:r>
    </w:p>
    <w:p>
      <w:r>
        <w:t>4. Правила сверки сумм (редакция v1)</w:t>
      </w:r>
    </w:p>
    <w:p>
      <w:r>
        <w:t>4.1. Расхождение определяется как сумма по чеку минус сумма по реестру. В перечень нарушений включаются случаи, если модуль расхождения превышает 150 рублей.</w:t>
      </w:r>
    </w:p>
    <w:p>
      <w:r>
        <w:t>4.2. Суточные не должны превышать 2 500 ₽ за сутки.</w:t>
      </w:r>
    </w:p>
    <w:p>
      <w:r>
        <w:t>4.3. Расходы на такси не должны превышать 2 500 ₽ за один чек.</w:t>
      </w:r>
    </w:p>
    <w:p>
      <w:r>
        <w:t>4.4. Превышение лимита сметы на проживание допускается только при наличии отдельного письма-согласования.</w:t>
      </w:r>
    </w:p>
    <w:p>
      <w:r>
        <w:t>5. Хранение</w:t>
      </w:r>
    </w:p>
    <w:p>
      <w:r>
        <w:t>Оригиналы хранятся в бухгалтерии не менее срока, установленного номенклатурой дел.</w:t>
      </w:r>
    </w:p>
    <w:p>
      <w:r>
        <w:t>Электронные копии размещаются в рабочей папке проекта без изменения исходников.</w:t>
        <w:br w:type="page"/>
      </w:r>
    </w:p>
    <w:p>
      <w:r>
        <w:t>6. Заключительные положения</w:t>
      </w:r>
    </w:p>
    <w:p>
      <w:r>
        <w:t>Изменения вносятся приказом генерального директора. Контроль — на отделе командировок.</w:t>
        <w:br w:type="page"/>
      </w:r>
    </w:p>
    <w:p>
      <w:r>
        <w:t>Приложение. Типовые ошибки (редакция v1)</w:t>
      </w:r>
    </w:p>
    <w:p>
      <w:r>
        <w:t>— принятие плановой суммы такси при отсутствии чека;</w:t>
      </w:r>
    </w:p>
    <w:p>
      <w:r>
        <w:t>— смешение реестров разных проектов;</w:t>
      </w:r>
    </w:p>
    <w:p>
      <w:r>
        <w:t>— применение устаревшего лимита без проверки приказа о вводе новой редакции.</w:t>
        <w:br w:type="page"/>
      </w:r>
    </w:p>
    <w:p>
      <w:r>
        <w:t>Справочно. Реквизиты Общества</w:t>
      </w:r>
    </w:p>
    <w:p>
      <w:r>
        <w:t>ООО «Гидропривод НТ»</w:t>
      </w:r>
    </w:p>
    <w:p>
      <w:r>
        <w:t>Юридический адрес: ЯНАО, г. Салехард, ул. Республики, д. 42</w:t>
      </w:r>
    </w:p>
    <w:p>
      <w:r>
        <w:t>ИНН 8901234567, КПП 890101001</w:t>
      </w:r>
    </w:p>
    <w:p>
      <w:r>
        <w:t>Расчётный счёт 40702810100000001234 в Банке «Северный» БИК 047102001</w:t>
      </w:r>
    </w:p>
    <w:p>
      <w:r>
        <w:t>Документ сформирован канцелярией. Печать на бумажном оригинале.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