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СОП-07. Допуск образцов ДНК к секвенированию (редакция v1)</w:t>
      </w:r>
    </w:p>
    <w:p>
      <w:r>
        <w:t>Утверждён локальным актом института. Дата редакции: 15.01.2025.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Измерения и источники данных</w:t>
      </w:r>
    </w:p>
    <w:p>
      <w:r>
        <w:t>4. Критерии допуска</w:t>
      </w:r>
    </w:p>
    <w:p>
      <w:r>
        <w:t>5. Хранение записей и ответственность</w:t>
      </w:r>
    </w:p>
    <w:p>
      <w:r>
        <w:t>6. Заключительные положения</w:t>
      </w:r>
    </w:p>
    <w:p>
      <w:r>
        <w:t>Приложение. Типовые ошибки</w:t>
        <w:br w:type="page"/>
      </w:r>
    </w:p>
    <w:p>
      <w:r>
        <w:t>1. Общие положения</w:t>
      </w:r>
    </w:p>
    <w:p>
      <w:r>
        <w:t>1.1. Настоящий СОП устанавливает порядок допуска образцов ДНК к секвенированию в Лаборатория геномики бактерий НИИ «Биогеном».</w:t>
      </w:r>
    </w:p>
    <w:p>
      <w:r>
        <w:t>1.2. СОП применяется ко всем проектам лаборатории, если иное не установлено приказом директора или отдельным письмом по проекту.</w:t>
      </w:r>
    </w:p>
    <w:p>
      <w:r>
        <w:t>1.3. Цель — обеспечить воспроизводимость критериев качества ДНК перед запуском прогона секвенатора.</w:t>
      </w:r>
    </w:p>
    <w:p>
      <w:r>
        <w:t>1.4. Допуск выполняет ответственный сотрудник QC совместно с руководителем смены секвенирования.</w:t>
      </w:r>
    </w:p>
    <w:p>
      <w:r>
        <w:t>1.5. Настоящий документ не заменяет требования биобезопасности и правила работы с патогенами.</w:t>
        <w:br w:type="page"/>
      </w:r>
    </w:p>
    <w:p>
      <w:r>
        <w:t>2. Термины и сокращения</w:t>
      </w:r>
    </w:p>
    <w:p>
      <w:r>
        <w:t>2.1. Qubit — флуорометрическое измерение концентрации двуцепочечной ДНК (нг/мкл).</w:t>
      </w:r>
    </w:p>
    <w:p>
      <w:r>
        <w:t>2.2. NanoDrop — спектрофотометрический отчёт; для допуска используется показатель A260/280.</w:t>
      </w:r>
    </w:p>
    <w:p>
      <w:r>
        <w:t>2.3. Журнал приёма — учёт объёма образца (мкл), принятого лабораторией.</w:t>
      </w:r>
    </w:p>
    <w:p>
      <w:r>
        <w:t>2.4. Масса ДНК — произведение концентрации и объёма согласно правилам раздела 4.</w:t>
      </w:r>
    </w:p>
    <w:p>
      <w:r>
        <w:t>2.5. Проект — код исследования (например, МТБ-26). Совпадение номера образца между проектами не даёт права смешивать измерения.</w:t>
        <w:br w:type="page"/>
      </w:r>
    </w:p>
    <w:p>
      <w:r>
        <w:t>Редакция датирована 15.01.2025. Какая редакция действует на дату среза, определяется приказом о введении СОП-07.</w:t>
      </w:r>
    </w:p>
    <w:p>
      <w:r>
        <w:t>3. Измерения и источники данных</w:t>
      </w:r>
    </w:p>
    <w:p>
      <w:r>
        <w:t>3.1. Концентрация ДНК может быть взята из отчёта Qubit или NanoDrop.</w:t>
      </w:r>
    </w:p>
    <w:p>
      <w:r>
        <w:t>3.2. Показатель A260/280 используется как вспомогательный критерий чистоты.</w:t>
        <w:br w:type="page"/>
      </w:r>
    </w:p>
    <w:p>
      <w:r>
        <w:t>4. Критерии допуска (редакция v1)</w:t>
      </w:r>
    </w:p>
    <w:p>
      <w:r>
        <w:t>4.1. Концентрация ДНК ≥ 10.0 нг/мкл.</w:t>
      </w:r>
    </w:p>
    <w:p>
      <w:r>
        <w:t>4.2. A260/280 от 1.7 до 2.1 включительно.</w:t>
      </w:r>
    </w:p>
    <w:p>
      <w:r>
        <w:t>4.3. Масса ДНК ≥ 300 нг (концентрация × объём).</w:t>
      </w:r>
    </w:p>
    <w:p>
      <w:r>
        <w:t>4.4. Образец, не прошедший критерий чистоты, может быть допущен по решению руководителя смены.</w:t>
      </w:r>
    </w:p>
    <w:p>
      <w:r>
        <w:t>4.5. Допускаются исключения по письменному запросу заявителя.</w:t>
        <w:br w:type="page"/>
      </w:r>
    </w:p>
    <w:p>
      <w:r>
        <w:t>5. Хранение записей</w:t>
      </w:r>
    </w:p>
    <w:p>
      <w:r>
        <w:t>Оригиналы журналов и отчётов приборов хранятся в архиве лаборатории не менее пяти лет.</w:t>
      </w:r>
    </w:p>
    <w:p>
      <w:r>
        <w:t>Электронные копии размещаются в рабочей папке проекта без изменения исходников.</w:t>
        <w:br w:type="page"/>
      </w:r>
    </w:p>
    <w:p>
      <w:r>
        <w:t>6. Заключительные положения</w:t>
      </w:r>
    </w:p>
    <w:p>
      <w:r>
        <w:t>Изменения вносятся приказом директора. Контроль — на службе качества.</w:t>
        <w:br w:type="page"/>
      </w:r>
    </w:p>
    <w:p>
      <w:r>
        <w:t>Приложение. Типовые ошибки (редакция v1)</w:t>
      </w:r>
    </w:p>
    <w:p>
      <w:r>
        <w:t>— использование концентрации NanoDrop вместо Qubit;</w:t>
      </w:r>
    </w:p>
    <w:p>
      <w:r>
        <w:t>— смешение журналов приёма разных проектов;</w:t>
      </w:r>
    </w:p>
    <w:p>
      <w:r>
        <w:t>— применение устаревшей редакции СОП без проверки приказа о вводе новой редакции.</w:t>
        <w:br w:type="page"/>
      </w:r>
    </w:p>
    <w:p>
      <w:r>
        <w:t>Справочно. Реквизиты института</w:t>
      </w:r>
    </w:p>
    <w:p>
      <w:r>
        <w:t>НИИ «Биогеном»</w:t>
      </w:r>
    </w:p>
    <w:p>
      <w:r>
        <w:t>Юридический адрес: г. Москва, ул. Академика Опарина, д. 8</w:t>
      </w:r>
    </w:p>
    <w:p>
      <w:r>
        <w:t>ИНН 7701234567, КПП 770101001</w:t>
      </w:r>
    </w:p>
    <w:p>
      <w:r>
        <w:t>Документ сформирован канцелярией лаборатории. Печать на бумажном оригинале.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