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СОП-07. Допуск образцов ДНК к секвенированию (редакция v2)</w:t>
      </w:r>
    </w:p>
    <w:p>
      <w:r>
        <w:t>Утверждён локальным актом института. Дата редакции: 20.08.2026.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Измерения и источники данных</w:t>
      </w:r>
    </w:p>
    <w:p>
      <w:r>
        <w:t>4. Критерии допуска</w:t>
      </w:r>
    </w:p>
    <w:p>
      <w:r>
        <w:t>5. Хранение записей и ответственность</w:t>
      </w:r>
    </w:p>
    <w:p>
      <w:r>
        <w:t>6. Заключительные положения</w:t>
      </w:r>
    </w:p>
    <w:p>
      <w:r>
        <w:t>Приложение. Типовые ошибки</w:t>
        <w:br w:type="page"/>
      </w:r>
    </w:p>
    <w:p>
      <w:r>
        <w:t>1. Общие положения</w:t>
      </w:r>
    </w:p>
    <w:p>
      <w:r>
        <w:t>1.1. Настоящий СОП устанавливает порядок допуска образцов ДНК к секвенированию в Лаборатория геномики бактерий НИИ «Биогеном».</w:t>
      </w:r>
    </w:p>
    <w:p>
      <w:r>
        <w:t>1.2. СОП применяется ко всем проектам лаборатории, если иное не установлено приказом директора или отдельным письмом по проекту.</w:t>
      </w:r>
    </w:p>
    <w:p>
      <w:r>
        <w:t>1.3. Цель — обеспечить воспроизводимость критериев качества ДНК перед запуском прогона секвенатора.</w:t>
      </w:r>
    </w:p>
    <w:p>
      <w:r>
        <w:t>1.4. Допуск выполняет ответственный сотрудник QC совместно с руководителем смены секвенирования.</w:t>
      </w:r>
    </w:p>
    <w:p>
      <w:r>
        <w:t>1.5. Настоящий документ не заменяет требования биобезопасности и правила работы с патогенами.</w:t>
        <w:br w:type="page"/>
      </w:r>
    </w:p>
    <w:p>
      <w:r>
        <w:t>2. Термины и сокращения</w:t>
      </w:r>
    </w:p>
    <w:p>
      <w:r>
        <w:t>2.1. Qubit — флуорометрическое измерение концентрации двуцепочечной ДНК (нг/мкл).</w:t>
      </w:r>
    </w:p>
    <w:p>
      <w:r>
        <w:t>2.2. NanoDrop — спектрофотометрический отчёт; для допуска используется показатель A260/280.</w:t>
      </w:r>
    </w:p>
    <w:p>
      <w:r>
        <w:t>2.3. Журнал приёма — учёт объёма образца (мкл), принятого лабораторией.</w:t>
      </w:r>
    </w:p>
    <w:p>
      <w:r>
        <w:t>2.4. Масса ДНК — произведение концентрации и объёма согласно правилам раздела 4.</w:t>
      </w:r>
    </w:p>
    <w:p>
      <w:r>
        <w:t>2.5. Проект — код исследования (например, МТБ-26). Совпадение номера образца между проектами не даёт права смешивать измерения.</w:t>
        <w:br w:type="page"/>
      </w:r>
    </w:p>
    <w:p>
      <w:r>
        <w:t>Статус настоящей редакции: действует с 01.09.2026. Действует с 01.09.2026.</w:t>
      </w:r>
    </w:p>
    <w:p>
      <w:r>
        <w:t>3. Измерения и источники данных</w:t>
      </w:r>
    </w:p>
    <w:p>
      <w:r>
        <w:t>3.1. Перед допуском собираются измерение Qubit, отчёт NanoDrop (при наличии) и запись журнала приёма.</w:t>
      </w:r>
    </w:p>
    <w:p>
      <w:r>
        <w:t>3.2. Концентрация для допуска берётся только по Qubit; NanoDrop используется только для A260/280. Концентрация из отчёта NanoDrop в критерий п. 4.1 не подставляется.</w:t>
        <w:br w:type="page"/>
      </w:r>
    </w:p>
    <w:p>
      <w:r>
        <w:t>4. Критерии допуска (редакция v2)</w:t>
      </w:r>
    </w:p>
    <w:p>
      <w:r>
        <w:t>4.1. Qubit ≥ 15.0 нг/мкл (ровно 15.0 допустимо).</w:t>
      </w:r>
    </w:p>
    <w:p>
      <w:r>
        <w:t>4.2. A260/280 от 1.80 до 2.00 включительно.</w:t>
      </w:r>
    </w:p>
    <w:p>
      <w:r>
        <w:t>4.3. Масса ДНК = концентрация (Qubit) × объём из журнала приёма, не менее 400 нг. Объём элюции из журнала экстракции для расчёта массы не используется.</w:t>
      </w:r>
    </w:p>
    <w:p>
      <w:r>
        <w:t>4.4. Образец, не прошедший п. 4.2, направляется на повторную очистку; образец, не прошедший п. 4.1 или п. 4.3, не допускается.</w:t>
      </w:r>
    </w:p>
    <w:p>
      <w:r>
        <w:t>4.5. Исключений нет. Просьбы заявителя и предварительные протоколы по устаревшему шаблону критерии не изменяют.</w:t>
      </w:r>
    </w:p>
    <w:p>
      <w:r>
        <w:t>Вердикт «допущен» выносится только если выполнены все три критерия (4.1–4.3). При отсутствии измерения A260/280 вердикт не выносится (недостаточно данных).</w:t>
        <w:br w:type="page"/>
      </w:r>
    </w:p>
    <w:p>
      <w:r>
        <w:t>5. Хранение записей и ответственность</w:t>
      </w:r>
    </w:p>
    <w:p>
      <w:r>
        <w:t>5.1. Неполные данные фиксируются явно. Запрещено подставлять измерения другого образца или другого проекта.</w:t>
      </w:r>
    </w:p>
    <w:p>
      <w:r>
        <w:t>5.2. Предварительный протокол допуска, составленный по устаревшему шаблону, не заменяет проверку по действующему СОП.</w:t>
      </w:r>
    </w:p>
    <w:p>
      <w:r>
        <w:t>5.3. Сотрудники QC несут ответственность за применение действующей редакции СОП-07.</w:t>
        <w:br w:type="page"/>
      </w:r>
    </w:p>
    <w:p>
      <w:r>
        <w:t>6. Заключительные положения</w:t>
      </w:r>
    </w:p>
    <w:p>
      <w:r>
        <w:t>6.1. Редакция вводится приказом. С даты введения предыдущая редакция утрачивает силу.</w:t>
      </w:r>
    </w:p>
    <w:p>
      <w:r>
        <w:t>6.2. По вопросам толкования обращаться в службу качества.</w:t>
        <w:br w:type="page"/>
      </w:r>
    </w:p>
    <w:p>
      <w:r>
        <w:t>Приложение А. Порядок эскалации</w:t>
      </w:r>
    </w:p>
    <w:p>
      <w:r>
        <w:t>При невыполнении критерия чистоты (п. 4.2) образец направляется на повторную очистку согласно п. 4.4. Устные просьбы заявителя исключением не являются.</w:t>
      </w:r>
    </w:p>
    <w:p>
      <w:r>
        <w:t>Приложение Б. Типовые ошибки (редакция v2)</w:t>
      </w:r>
    </w:p>
    <w:p>
      <w:r>
        <w:t>— использование порогов редакции v1 после даты введения v2;</w:t>
      </w:r>
    </w:p>
    <w:p>
      <w:r>
        <w:t>— принятие концентрации из отчёта NanoDrop как концентрации для допуска;</w:t>
      </w:r>
    </w:p>
    <w:p>
      <w:r>
        <w:t>— сверка измерений проекта АЭР-26 с журналом МТБ-26 при совпадении номера образца.</w:t>
        <w:br w:type="page"/>
      </w:r>
    </w:p>
    <w:p>
      <w:r>
        <w:t>Справочно. Реквизиты института</w:t>
      </w:r>
    </w:p>
    <w:p>
      <w:r>
        <w:t>НИИ «Биогеном»</w:t>
      </w:r>
    </w:p>
    <w:p>
      <w:r>
        <w:t>Юридический адрес: г. Москва, ул. Академика Опарина, д. 8</w:t>
      </w:r>
    </w:p>
    <w:p>
      <w:r>
        <w:t>ИНН 7701234567, КПП 770101001</w:t>
      </w:r>
    </w:p>
    <w:p>
      <w:r>
        <w:t>Документ сформирован канцелярией лаборатории. Печать на бумажном оригинале.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