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00796B"/>
          <w:sz w:val="44"/>
          <w:szCs w:val="44"/>
        </w:rPr>
        <w:t xml:space="preserve">CERTO GOVERNANCE INSTITUTE</w:t>
      </w:r>
    </w:p>
    <w:p>
      <w:pPr>
        <w:spacing w:before="200"/>
      </w:pPr>
    </w:p>
    <w:p>
      <w:pPr>
        <w:jc w:val="center"/>
      </w:pPr>
      <w:r>
        <w:rPr>
          <w:rFonts w:ascii="Arial" w:cs="Arial" w:eastAsia="Arial" w:hAnsi="Arial"/>
          <w:b/>
          <w:bCs/>
          <w:color w:val="263238"/>
          <w:sz w:val="56"/>
          <w:szCs w:val="56"/>
        </w:rPr>
        <w:t xml:space="preserve">Deliverable C</w:t>
      </w:r>
    </w:p>
    <w:p>
      <w:pPr>
        <w:jc w:val="center"/>
      </w:pPr>
      <w:r>
        <w:rPr>
          <w:rFonts w:ascii="Arial" w:cs="Arial" w:eastAsia="Arial" w:hAnsi="Arial"/>
          <w:color w:val="263238"/>
          <w:sz w:val="36"/>
          <w:szCs w:val="36"/>
        </w:rPr>
        <w:t xml:space="preserve">Diagramy Procesów z Bramkami Normowymi</w:t>
      </w:r>
    </w:p>
    <w:p>
      <w:pPr>
        <w:jc w:val="center"/>
      </w:pPr>
      <w:r>
        <w:rPr>
          <w:rFonts w:ascii="Arial" w:cs="Arial" w:eastAsia="Arial" w:hAnsi="Arial"/>
          <w:color w:val="757575"/>
          <w:sz w:val="28"/>
          <w:szCs w:val="28"/>
        </w:rPr>
        <w:t xml:space="preserve">7 workflowów × NK gates × ALLOW/BLOCK ścieżki</w:t>
      </w:r>
    </w:p>
    <w:p>
      <w:pPr>
        <w:spacing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Wersja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Dokumenty nadrzędne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Policy Registry (Deliverable A), Specyfikacja Techniczna (Deliverable 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Zatwierdzenie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CTO Spółki Certo ID PSA + Zarząd Fundacji Certo</w:t>
            </w:r>
          </w:p>
        </w:tc>
      </w:tr>
    </w:tbl>
    <w:p>
      <w:r>
        <w:br w:type="page"/>
      </w:r>
    </w:p>
    <w:p>
      <w:pPr>
        <w:pStyle w:val="Heading1"/>
        <w:spacing w:before="360" w:after="200"/>
      </w:pPr>
      <w:r>
        <w:rPr>
          <w:rFonts w:ascii="Arial" w:cs="Arial" w:eastAsia="Arial" w:hAnsi="Arial"/>
          <w:b/>
          <w:bCs/>
          <w:color w:val="00796B"/>
          <w:sz w:val="32"/>
          <w:szCs w:val="32"/>
        </w:rPr>
        <w:t xml:space="preserve">Spis treści</w:t>
      </w:r>
    </w:p>
    <w:sdt>
      <w:sdtPr>
        <w:alias w:val="Spis treści"/>
      </w:sdtPr>
      <w:sdtContent>
        <w:p>
          <w:r>
            <w:fldChar w:fldCharType="begin" w:dirty="true"/>
            <w:instrText xml:space="preserve">TOC \h \o "1-3"</w:instrText>
            <w:fldChar w:fldCharType="separate"/>
          </w:r>
        </w:p>
        <w:p>
          <w:r>
            <w:fldChar w:fldCharType="end"/>
          </w:r>
        </w:p>
      </w:sdtContent>
    </w:sdt>
    <w:p>
      <w:pPr>
        <w:spacing w:after="120"/>
      </w:pPr>
      <w:r>
        <w:rPr>
          <w:rFonts w:ascii="Arial" w:cs="Arial" w:eastAsia="Arial" w:hAnsi="Arial"/>
          <w:i/>
          <w:iCs/>
          <w:color w:val="999999"/>
          <w:sz w:val="18"/>
          <w:szCs w:val="18"/>
        </w:rPr>
        <w:t xml:space="preserve">(Ctrl+A → F9)</w:t>
      </w:r>
    </w:p>
    <w:p>
      <w:r>
        <w:br w:type="page"/>
      </w:r>
    </w:p>
    <w:p>
      <w:pPr>
        <w:pStyle w:val="Heading1"/>
        <w:spacing w:before="360" w:after="200"/>
      </w:pPr>
      <w:r>
        <w:rPr>
          <w:rFonts w:ascii="Arial" w:cs="Arial" w:eastAsia="Arial" w:hAnsi="Arial"/>
          <w:b/>
          <w:bCs/>
          <w:color w:val="00796B"/>
          <w:sz w:val="32"/>
          <w:szCs w:val="32"/>
        </w:rPr>
        <w:t xml:space="preserve">1. Wprowadzenie</w:t>
      </w:r>
    </w:p>
    <w:p>
      <w:pPr>
        <w:spacing w:after="120"/>
      </w:pPr>
      <w:r>
        <w:rPr>
          <w:rFonts w:ascii="Arial" w:cs="Arial" w:eastAsia="Arial" w:hAnsi="Arial"/>
          <w:sz w:val="22"/>
          <w:szCs w:val="22"/>
        </w:rPr>
        <w:t xml:space="preserve">Niniejszy dokument (Deliverable C) uzupełnia Deliverable A (Policy Registry) i Deliverable B (Specyfikacja Techniczna) o wizualizację przepływów operacyjnych z konkretnymi bramkami normowymi (NK gates).</w:t>
      </w:r>
    </w:p>
    <w:p>
      <w:pPr>
        <w:spacing w:after="120"/>
      </w:pPr>
      <w:r>
        <w:rPr>
          <w:rFonts w:ascii="Arial" w:cs="Arial" w:eastAsia="Arial" w:hAnsi="Arial"/>
          <w:b/>
          <w:bCs/>
          <w:sz w:val="22"/>
          <w:szCs w:val="22"/>
        </w:rPr>
        <w:t xml:space="preserve">Cel: </w:t>
      </w:r>
      <w:r>
        <w:rPr>
          <w:rFonts w:ascii="Arial" w:cs="Arial" w:eastAsia="Arial" w:hAnsi="Arial"/>
          <w:sz w:val="22"/>
          <w:szCs w:val="22"/>
        </w:rPr>
        <w:t xml:space="preserve">programista widzi dokładnie KIEDY system wywołuje Compliance Engine (OPA WASM), KTÓRE reguły są ewaluowane i CO się dzieje przy ALLOW vs BLOCK.</w:t>
      </w:r>
    </w:p>
    <w:p>
      <w:pPr>
        <w:spacing w:after="120"/>
      </w:pPr>
      <w:r>
        <w:rPr>
          <w:rFonts w:ascii="Arial" w:cs="Arial" w:eastAsia="Arial" w:hAnsi="Arial"/>
          <w:b/>
          <w:bCs/>
          <w:sz w:val="22"/>
          <w:szCs w:val="22"/>
        </w:rPr>
        <w:t xml:space="preserve">Zasada globalna: </w:t>
      </w:r>
      <w:r>
        <w:rPr>
          <w:rFonts w:ascii="Arial" w:cs="Arial" w:eastAsia="Arial" w:hAnsi="Arial"/>
          <w:sz w:val="22"/>
          <w:szCs w:val="22"/>
        </w:rPr>
        <w:t xml:space="preserve">NK-000 (Fail-Closed Default) i JSON Schema Validation obowiązują w KAżDYM decision point. W diagramach oznaczone w pierwszej bramce, ale stosowane automatycznie.</w:t>
      </w:r>
    </w:p>
    <w:p>
      <w:pPr>
        <w:spacing w:after="120"/>
      </w:pPr>
      <w:r>
        <w:rPr>
          <w:rFonts w:ascii="Arial" w:cs="Arial" w:eastAsia="Arial" w:hAnsi="Arial"/>
          <w:b/>
          <w:bCs/>
          <w:sz w:val="22"/>
          <w:szCs w:val="22"/>
        </w:rPr>
        <w:t xml:space="preserve">Zasada audytu: </w:t>
      </w:r>
      <w:r>
        <w:rPr>
          <w:rFonts w:ascii="Arial" w:cs="Arial" w:eastAsia="Arial" w:hAnsi="Arial"/>
          <w:sz w:val="22"/>
          <w:szCs w:val="22"/>
        </w:rPr>
        <w:t xml:space="preserve">Każdy decision point generuje audit_event niezależnie od wyniku (ALLOW lub BLOCK). Każdy audit_event zawiera policy_hash + context_hash. Przy BLOCK/WARN: pełny context_snapshot (JSON &lt;32KB) zapisywany w metadata — programista wkleja JSON do lokalnego testera OPA i widzi która reguła zawiodła. Czas diagnozy: sekundy zamiast godzin.</w:t>
      </w:r>
    </w:p>
    <w:p>
      <w:pPr>
        <w:spacing w:after="120"/>
      </w:pPr>
      <w:r>
        <w:rPr>
          <w:rFonts w:ascii="Arial" w:cs="Arial" w:eastAsia="Arial" w:hAnsi="Arial"/>
          <w:b/>
          <w:bCs/>
          <w:sz w:val="22"/>
          <w:szCs w:val="22"/>
        </w:rPr>
        <w:t xml:space="preserve">Single-Pass Evaluation: </w:t>
      </w:r>
      <w:r>
        <w:rPr>
          <w:rFonts w:ascii="Arial" w:cs="Arial" w:eastAsia="Arial" w:hAnsi="Arial"/>
          <w:sz w:val="22"/>
          <w:szCs w:val="22"/>
        </w:rPr>
        <w:t xml:space="preserve">Diagramy prezentują logiczną separację reguł. Fizycznie: JEDNO wywołanie WASM evaluate(context) per pakiet workflow (np. certo.workflows.publish_rating) → tablica decisions[]: każda z action (BLOCK/WARN) + rule + reason. API: jeśli jakikolwiek BLOCK → HTTP 403. Jeśli tylko WARN → HTTP 200 + żądanie potwierdzenia od UI. Programista: jedna linia ewaluacyjna.</w:t>
      </w:r>
    </w:p>
    <w:p>
      <w:pPr>
        <w:spacing w:after="120"/>
      </w:pPr>
      <w:r>
        <w:rPr>
          <w:rFonts w:ascii="Arial" w:cs="Arial" w:eastAsia="Arial" w:hAnsi="Arial"/>
          <w:b/>
          <w:bCs/>
          <w:sz w:val="22"/>
          <w:szCs w:val="22"/>
        </w:rPr>
        <w:t xml:space="preserve">Konwencja: </w:t>
      </w:r>
      <w:r>
        <w:rPr>
          <w:rFonts w:ascii="Arial" w:cs="Arial" w:eastAsia="Arial" w:hAnsi="Arial"/>
          <w:sz w:val="22"/>
          <w:szCs w:val="22"/>
        </w:rPr>
        <w:t xml:space="preserve">każdy workflow ma tabelę-diagram z kolumnami: Krok, Aktor, Akcja, Bramka NK (reguła ewaluowana), Ścieżka ALLOW, Ścieżka BLOCK. Bramki NK (kolor żółty) = wywołanie OPA WASM evaluate().</w:t>
      </w:r>
    </w:p>
    <w:p>
      <w:pPr>
        <w:spacing w:after="120"/>
      </w:pPr>
      <w:r>
        <w:rPr>
          <w:rFonts w:ascii="Arial" w:cs="Arial" w:eastAsia="Arial" w:hAnsi="Arial"/>
          <w:b/>
          <w:bCs/>
          <w:sz w:val="22"/>
          <w:szCs w:val="22"/>
        </w:rPr>
        <w:t xml:space="preserve">Zasada fundamentalna: </w:t>
      </w:r>
      <w:r>
        <w:rPr>
          <w:rFonts w:ascii="Arial" w:cs="Arial" w:eastAsia="Arial" w:hAnsi="Arial"/>
          <w:sz w:val="22"/>
          <w:szCs w:val="22"/>
        </w:rPr>
        <w:t xml:space="preserve">Compliance Engine jest wywoływany wyłącznie w punktach decyzyjnych (mutacje). Operacje odczytu chronione przez RLS w Postgres (izolacja tenantów + podstawowy RBAC). Zaawansowane reguły biznesowe (konflikty, rotacje) — wyłącznie OPA WASM przy mutacjach. RLS = dumb filter, OPA = smart authz. Dry-Run API: endpoint z flagą ?dry_run=true pozwala frontendowi zapytać OPA bez mutacji DB i bez audit_event. Zwraca ALLOW/BLOCK + powód. UI wyświetla szare przyciski oparte na realnych kalkulacjach OPA (nie replikacji logiki we frontendzie).</w:t>
      </w:r>
    </w:p>
    <w:p>
      <w:pPr>
        <w:spacing w:after="120"/>
      </w:pPr>
      <w:r>
        <w:rPr>
          <w:rFonts w:ascii="Arial" w:cs="Arial" w:eastAsia="Arial" w:hAnsi="Arial"/>
          <w:b/>
          <w:bCs/>
          <w:sz w:val="22"/>
          <w:szCs w:val="22"/>
        </w:rPr>
        <w:t xml:space="preserve">Zasada wydajności OPA WASM: </w:t>
      </w:r>
      <w:r>
        <w:rPr>
          <w:rFonts w:ascii="Arial" w:cs="Arial" w:eastAsia="Arial" w:hAnsi="Arial"/>
          <w:sz w:val="22"/>
          <w:szCs w:val="22"/>
        </w:rPr>
        <w:t xml:space="preserve">OPA context zawiera wyłącznie metadane, flagi i hashe (max 32KB, hard limit enforced w API gateway). Nigdy pełne treści. Tekst → DB/S3.</w:t>
      </w:r>
    </w:p>
    <w:p>
      <w:pPr>
        <w:pStyle w:val="Heading2"/>
        <w:spacing w:before="240" w:after="160"/>
      </w:pPr>
      <w:r>
        <w:rPr>
          <w:rFonts w:ascii="Arial" w:cs="Arial" w:eastAsia="Arial" w:hAnsi="Arial"/>
          <w:b/>
          <w:bCs/>
          <w:color w:val="263238"/>
          <w:sz w:val="28"/>
          <w:szCs w:val="28"/>
        </w:rPr>
        <w:t xml:space="preserve">1.1. Legenda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Kolor</w:t>
            </w:r>
          </w:p>
        </w:tc>
        <w:tc>
          <w:tcPr>
            <w:tcW w:type="dxa" w:w="7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Znaczenie</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sz w:val="20"/>
                <w:szCs w:val="20"/>
              </w:rPr>
              <w:t xml:space="preserve"/>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Bramka normowa — wywołanie OPA WASM evaluate(). ID reguły z Policy Registry.</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ALLOW — akcja dozwolona, przepływ kontynuuje.</w:t>
            </w:r>
          </w:p>
        </w:tc>
      </w:tr>
      <w:tr>
        <w:tc>
          <w:tcPr>
            <w:tcW w:type="dxa" w:w="2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 — akcja zablokowana, przepływ przerwany. Audit event + komunikat użytkownikowi.</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Operacja systemowa (DB write, nightly job, export).</w:t>
            </w:r>
          </w:p>
        </w:tc>
      </w:tr>
    </w:tbl>
    <w:p>
      <w:pPr>
        <w:spacing w:before="100"/>
      </w:pPr>
    </w:p>
    <w:p>
      <w:pPr>
        <w:pStyle w:val="Heading2"/>
        <w:spacing w:before="240" w:after="160"/>
      </w:pPr>
      <w:r>
        <w:rPr>
          <w:rFonts w:ascii="Arial" w:cs="Arial" w:eastAsia="Arial" w:hAnsi="Arial"/>
          <w:b/>
          <w:bCs/>
          <w:color w:val="263238"/>
          <w:sz w:val="28"/>
          <w:szCs w:val="28"/>
        </w:rPr>
        <w:t xml:space="preserve">1.2. 7 workflowów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26"/>
      </w:tblGrid>
      <w:tr>
        <w:tc>
          <w:tcPr>
            <w:tcW w:type="dxa" w:w="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w:t>
            </w:r>
          </w:p>
        </w:tc>
        <w:tc>
          <w:tcPr>
            <w:tcW w:type="dxa" w:w="3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Workflow</w:t>
            </w:r>
          </w:p>
        </w:tc>
        <w:tc>
          <w:tcPr>
            <w:tcW w:type="dxa" w:w="52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Decision Point (Deliverable B §4.3)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Publikacja ratingu</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PUBLISH_RATING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Przypisanie ewaluatora</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ASSIGN_EVALUATOR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Rejestracja darowizny</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REGISTER_DONATION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Break-Glass (procedura awaryjna)</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Dowolny decision point w trybie awaryjnym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Crypto-shredding RODO (art. 17)</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Brak CE — operacja DPO na dek_registry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Zatwierdzenie nowej wersji metodologii</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APPROVE_METHODOLOGY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Retrospektywna korekta ratingu (Rating Revision)</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REVISE_RATING</w:t>
            </w:r>
          </w:p>
        </w:tc>
      </w:tr>
    </w:tbl>
    <w:p>
      <w:r>
        <w:br w:type="page"/>
      </w:r>
    </w:p>
    <w:p>
      <w:pPr>
        <w:pStyle w:val="Heading1"/>
        <w:spacing w:before="360" w:after="200"/>
      </w:pPr>
      <w:r>
        <w:rPr>
          <w:rFonts w:ascii="Arial" w:cs="Arial" w:eastAsia="Arial" w:hAnsi="Arial"/>
          <w:b/>
          <w:bCs/>
          <w:color w:val="00796B"/>
          <w:sz w:val="32"/>
          <w:szCs w:val="32"/>
        </w:rPr>
        <w:t xml:space="preserve">2. W1: Publikacja ratingu</w:t>
      </w:r>
    </w:p>
    <w:p>
      <w:pPr>
        <w:spacing w:after="120"/>
      </w:pPr>
      <w:r>
        <w:rPr>
          <w:rFonts w:ascii="Arial" w:cs="Arial" w:eastAsia="Arial" w:hAnsi="Arial"/>
          <w:b/>
          <w:bCs/>
          <w:sz w:val="22"/>
          <w:szCs w:val="22"/>
        </w:rPr>
        <w:t xml:space="preserve">Decision point: </w:t>
      </w:r>
      <w:r>
        <w:rPr>
          <w:rFonts w:ascii="Arial" w:cs="Arial" w:eastAsia="Arial" w:hAnsi="Arial"/>
          <w:sz w:val="22"/>
          <w:szCs w:val="22"/>
        </w:rPr>
        <w:t xml:space="preserve">PUBLISH_RATING. Najcięższy workflow w systemie (7 reguł). Pipeline synchroniczny: SQL (&lt;10ms) → OPA WASM (&lt;0.1ms) → DB write. Całość &lt;15ms.</w:t>
      </w:r>
    </w:p>
    <w:p>
      <w:pPr>
        <w:spacing w:after="120"/>
      </w:pPr>
      <w:r>
        <w:rPr>
          <w:rFonts w:ascii="Arial" w:cs="Arial" w:eastAsia="Arial" w:hAnsi="Arial"/>
          <w:b/>
          <w:bCs/>
          <w:sz w:val="22"/>
          <w:szCs w:val="22"/>
        </w:rPr>
        <w:t xml:space="preserve">Bramki NK: </w:t>
      </w:r>
      <w:r>
        <w:rPr>
          <w:rFonts w:ascii="Arial" w:cs="Arial" w:eastAsia="Arial" w:hAnsi="Arial"/>
          <w:sz w:val="22"/>
          <w:szCs w:val="22"/>
        </w:rPr>
        <w:t xml:space="preserve">NK-000, NK-005, NK-007, NK-011, NK-012, NK-017, NK-018. PENDING_EXTERNAL block.</w:t>
      </w:r>
    </w:p>
    <w:p>
      <w:pPr>
        <w:spacing w:before="100"/>
      </w:pPr>
    </w:p>
    <w:p>
      <w:pPr>
        <w:pStyle w:val="Heading2"/>
        <w:spacing w:before="240" w:after="160"/>
      </w:pPr>
      <w:r>
        <w:rPr>
          <w:rFonts w:ascii="Arial" w:cs="Arial" w:eastAsia="Arial" w:hAnsi="Arial"/>
          <w:b/>
          <w:bCs/>
          <w:color w:val="263238"/>
          <w:sz w:val="28"/>
          <w:szCs w:val="28"/>
        </w:rPr>
        <w:t xml:space="preserve">2.1. Diagram przepływu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1200"/>
        <w:gridCol w:w="1600"/>
        <w:gridCol w:w="1626"/>
      </w:tblGrid>
      <w:tr>
        <w:tc>
          <w:tcPr>
            <w:tcW w:type="dxa" w:w="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Krok</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Aktor</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Akcja</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Bramka NK</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ALLOW →</w:t>
            </w:r>
          </w:p>
        </w:tc>
        <w:tc>
          <w:tcPr>
            <w:tcW w:type="dxa" w:w="16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BLOCK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Ewaluator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Klika „Publikuj rating” w 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SELECT get_eval_context(actor_id, rating_id)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JSON context</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NK-000 + JSON Schema Validation (walidacja w WASM przed regułami)</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4</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HTTP 503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NK-005: Maker-Checker (checker ∉ contributors[]?)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5</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checker jest contributorem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NK-007: Termin 14 dni na uwagi upłynął?</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6</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termin nie upłynął (X dni)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NK-011: Podmiot nie jest darczyńcą / brak sankcji?</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7</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aktywna darowizna / sankcje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NK-012: Disclosure relacji licencyjnej (jeśli dotyczy)?</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8</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brak disclosure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NK-017: Methodology Version Lock (wersja przypisana)?</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9</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brak methodology_version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NK-018: Source Data Mutation Detection (hash OK)?</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10</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WARN: UNDER_REVIEW (nie BLOCK)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PENDING_EXTERNAL: podmiot nie ma statusu oczekującego?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Custom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11</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pending external verification</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INSERT audit_event PRE_PUBLISH_INTENT (ślad intencji publikacji). Oblicz R-BOM: data_hash + policy_hash + runtime_hash + methodology_version + evaluation_context_hash.</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12</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12</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BEGIN TRANSACTION: UPDATE rating (PUBLISHED) + INSERT audit_event + INSERT INTO outbox_events (type=s3_upload, payload=R-BOM) → COMMIT. API zwraca sukces (&lt;20ms).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13</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13</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Worker</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Podnosi zadanie z outbox_events. Upload R-BOM + snapshot → S3 WORM. Otrzymuje S3 URI + ETag. Zapisuje URI w ratings. </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14</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14</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Sukces. Jeśli Upload z tagiem Status=Pending. Po COMMIT: async zmiana tagu na Status=Committed. S3 Lifecycle Rule: usuń Pending &gt;24h (Governance Mode pozwala). Jeśli S3 FAIL → brak COMMIT.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Zakończony</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bl>
    <w:p>
      <w:pPr>
        <w:spacing w:before="150"/>
      </w:pPr>
    </w:p>
    <w:p>
      <w:pPr>
        <w:pStyle w:val="Heading2"/>
        <w:spacing w:before="240" w:after="160"/>
      </w:pPr>
      <w:r>
        <w:rPr>
          <w:rFonts w:ascii="Arial" w:cs="Arial" w:eastAsia="Arial" w:hAnsi="Arial"/>
          <w:b/>
          <w:bCs/>
          <w:color w:val="263238"/>
          <w:sz w:val="28"/>
          <w:szCs w:val="28"/>
        </w:rPr>
        <w:t xml:space="preserve">2.2. Notatki implementacyjne</w:t>
      </w:r>
    </w:p>
    <w:p>
      <w:pPr>
        <w:spacing w:after="120"/>
      </w:pPr>
      <w:r>
        <w:rPr>
          <w:rFonts w:ascii="Arial" w:cs="Arial" w:eastAsia="Arial" w:hAnsi="Arial"/>
          <w:b/>
          <w:bCs/>
          <w:sz w:val="22"/>
          <w:szCs w:val="22"/>
        </w:rPr>
        <w:t xml:space="preserve">Idempotentność: </w:t>
      </w:r>
      <w:r>
        <w:rPr>
          <w:rFonts w:ascii="Arial" w:cs="Arial" w:eastAsia="Arial" w:hAnsi="Arial"/>
          <w:sz w:val="22"/>
          <w:szCs w:val="22"/>
        </w:rPr>
        <w:t xml:space="preserve">Jeśli rating.status == PUBLISHED (np. retry po zerwaniu połączenia), API zwraca HTTP 200 (Already Published) z zapisanym s3_uri. Pomija R-BOM i S3 PUT. Nie rzuca BLOCK.</w:t>
      </w:r>
    </w:p>
    <w:p>
      <w:pPr>
        <w:spacing w:after="120"/>
      </w:pPr>
      <w:r>
        <w:rPr>
          <w:rFonts w:ascii="Arial" w:cs="Arial" w:eastAsia="Arial" w:hAnsi="Arial"/>
          <w:b/>
          <w:bCs/>
          <w:sz w:val="22"/>
          <w:szCs w:val="22"/>
        </w:rPr>
        <w:t xml:space="preserve">PRE_PUBLISH_INTENT: </w:t>
      </w:r>
      <w:r>
        <w:rPr>
          <w:rFonts w:ascii="Arial" w:cs="Arial" w:eastAsia="Arial" w:hAnsi="Arial"/>
          <w:sz w:val="22"/>
          <w:szCs w:val="22"/>
        </w:rPr>
        <w:t xml:space="preserve">Audit event o intencji publikacji zapisywany PRZED S3 upload (append-only, nie może być wycofany ROLLBACKiem — osobna transakcja). Jeśli COMMIT padnie po S3, sierota WORM ma ślad w logu: „Próbowano opublikować, S3 przyjęło, transakcja DB zerwana”. Chroni Certo przed zarzutem manipulacji logami WORM. Event-driven reconciliation: przy tworzeniu PRE_PUBLISH_INTENT, API od razu INSERT INTO task_queue (type=check_orphan, execute_at=now()+1h). Worker przetwarza po upływie. Brak ciężkich nightly scanów całej tabeli.</w:t>
      </w:r>
    </w:p>
    <w:p>
      <w:pPr>
        <w:spacing w:after="120"/>
      </w:pPr>
      <w:r>
        <w:rPr>
          <w:rFonts w:ascii="Arial" w:cs="Arial" w:eastAsia="Arial" w:hAnsi="Arial"/>
          <w:b/>
          <w:bCs/>
          <w:sz w:val="22"/>
          <w:szCs w:val="22"/>
        </w:rPr>
        <w:t xml:space="preserve">Transakcja ACID + S3: </w:t>
      </w:r>
      <w:r>
        <w:rPr>
          <w:rFonts w:ascii="Arial" w:cs="Arial" w:eastAsia="Arial" w:hAnsi="Arial"/>
          <w:sz w:val="22"/>
          <w:szCs w:val="22"/>
        </w:rPr>
        <w:t xml:space="preserve">Transactional Outbox: API robi JEDEN atomowy COMMIT (UPDATE rating + INSERT audit_event + INSERT outbox_events). Worker realizuje upload na S3 WORM w tle (Graphile Worker, retry, exponential backoff). Zero sierot — jeśli S3 padnie, worker ponowi próbę. Baza = jedyny garant stanu. audit_event zawiera policy_hash + context_hash + context_snapshot (przy BLOCK/WARN).</w:t>
      </w:r>
    </w:p>
    <w:p>
      <w:pPr>
        <w:spacing w:after="120"/>
      </w:pPr>
      <w:r>
        <w:rPr>
          <w:rFonts w:ascii="Arial" w:cs="Arial" w:eastAsia="Arial" w:hAnsi="Arial"/>
          <w:b/>
          <w:bCs/>
          <w:sz w:val="22"/>
          <w:szCs w:val="22"/>
        </w:rPr>
        <w:t xml:space="preserve">Deadlock Prevention (NK-005): </w:t>
      </w:r>
      <w:r>
        <w:rPr>
          <w:rFonts w:ascii="Arial" w:cs="Arial" w:eastAsia="Arial" w:hAnsi="Arial"/>
          <w:sz w:val="22"/>
          <w:szCs w:val="22"/>
        </w:rPr>
        <w:t xml:space="preserve">API sprawdza availableCheckers.count() &gt; 0 PRZED dodaniem Contributora. Jeśli deadlock → Kolegium Standardu lub 2 członków Zarządu (Dual Control). Nigdy Izba (SoD).</w:t>
      </w:r>
    </w:p>
    <w:p>
      <w:pPr>
        <w:spacing w:after="120"/>
      </w:pPr>
      <w:r>
        <w:rPr>
          <w:rFonts w:ascii="Arial" w:cs="Arial" w:eastAsia="Arial" w:hAnsi="Arial"/>
          <w:b/>
          <w:bCs/>
          <w:sz w:val="22"/>
          <w:szCs w:val="22"/>
        </w:rPr>
        <w:t xml:space="preserve">NK-022 Funding Independence Gate: </w:t>
      </w:r>
      <w:r>
        <w:rPr>
          <w:rFonts w:ascii="Arial" w:cs="Arial" w:eastAsia="Arial" w:hAnsi="Arial"/>
          <w:sz w:val="22"/>
          <w:szCs w:val="22"/>
        </w:rPr>
        <w:t xml:space="preserve">OPA sprawdza czy podmiot należy do funding_influence_graph (darczyńcy, sponsorzy, podmioty kontrolowane/kontrolujące, 36 mies.). BLOCK lub REQUIRE_DISCLOSURE. R-BOM: funding_conflict_check + funding_disclosure. Funding Independence Statement publikowany przy ratingu.</w:t>
      </w:r>
    </w:p>
    <w:p>
      <w:pPr>
        <w:spacing w:after="120"/>
      </w:pPr>
      <w:r>
        <w:rPr>
          <w:rFonts w:ascii="Arial" w:cs="Arial" w:eastAsia="Arial" w:hAnsi="Arial"/>
          <w:b/>
          <w:bCs/>
          <w:sz w:val="22"/>
          <w:szCs w:val="22"/>
        </w:rPr>
        <w:t xml:space="preserve">NK-011 Graceful Degradation: </w:t>
      </w:r>
      <w:r>
        <w:rPr>
          <w:rFonts w:ascii="Arial" w:cs="Arial" w:eastAsia="Arial" w:hAnsi="Arial"/>
          <w:sz w:val="22"/>
          <w:szCs w:val="22"/>
        </w:rPr>
        <w:t xml:space="preserve">Jeśli weryfikacja CRBR/KRS niedostępna → status PENDING_EXTERNAL na encji → BLOCK publikacji. Continuous KYC (nightly) dokończy weryfikację.</w:t>
      </w:r>
    </w:p>
    <w:p>
      <w:pPr>
        <w:spacing w:after="120"/>
      </w:pPr>
      <w:r>
        <w:rPr>
          <w:rFonts w:ascii="Arial" w:cs="Arial" w:eastAsia="Arial" w:hAnsi="Arial"/>
          <w:b/>
          <w:bCs/>
          <w:sz w:val="22"/>
          <w:szCs w:val="22"/>
        </w:rPr>
        <w:t xml:space="preserve">NK-018 UNDER_REVIEW: </w:t>
      </w:r>
      <w:r>
        <w:rPr>
          <w:rFonts w:ascii="Arial" w:cs="Arial" w:eastAsia="Arial" w:hAnsi="Arial"/>
          <w:sz w:val="22"/>
          <w:szCs w:val="22"/>
        </w:rPr>
        <w:t xml:space="preserve">Mutacja danych źródłowych nie blokuje (BLOCK), a zmienia status na UNDER_REVIEW. Ewaluator musi świadomie potwierdzić. UNDER_REVIEW nie blokuje ręcznej publikacji, ale blokuje automatyczne re-publikacje. Flaga UNDER_REVIEW jest publicznie widoczna przy ratingu (przejrzystość dla rynku).</w:t>
      </w:r>
    </w:p>
    <w:p>
      <w:pPr>
        <w:spacing w:after="120"/>
      </w:pPr>
      <w:r>
        <w:rPr>
          <w:rFonts w:ascii="Arial" w:cs="Arial" w:eastAsia="Arial" w:hAnsi="Arial"/>
          <w:b/>
          <w:bCs/>
          <w:sz w:val="22"/>
          <w:szCs w:val="22"/>
        </w:rPr>
        <w:t xml:space="preserve">External Trust Anchor: </w:t>
      </w:r>
      <w:r>
        <w:rPr>
          <w:rFonts w:ascii="Arial" w:cs="Arial" w:eastAsia="Arial" w:hAnsi="Arial"/>
          <w:sz w:val="22"/>
          <w:szCs w:val="22"/>
        </w:rPr>
        <w:t xml:space="preserve">governance_worker po wygenerowaniu daily Merkle root wysyła hash(merkle_root) do: (1) RFC3161 TSA / eIDAS Qualified TSA (standard europejski, uznawany w sądzie), (2) opcjonalnie: public chain anchor (Bitcoin OP_RETURN / Ethereum calldata — globalny timestamp niezależny od instytucji). Otrzymany timestamp_token zapisywany w audit_day_roots. Efekt: Merkle root jest zakotwiczony POZA infrastrukturą Certo. Administrator systemu nie może zmienić audytu bez konfliktu z zewnętrznym timestampem. Dowodowość: matematyczna, nie proceduralna.</w:t>
      </w:r>
    </w:p>
    <w:p>
      <w:pPr>
        <w:spacing w:after="120"/>
      </w:pPr>
      <w:r>
        <w:rPr>
          <w:rFonts w:ascii="Arial" w:cs="Arial" w:eastAsia="Arial" w:hAnsi="Arial"/>
          <w:b/>
          <w:bCs/>
          <w:sz w:val="22"/>
          <w:szCs w:val="22"/>
        </w:rPr>
        <w:t xml:space="preserve">Weryfikacja po latach: </w:t>
      </w:r>
      <w:r>
        <w:rPr>
          <w:rFonts w:ascii="Arial" w:cs="Arial" w:eastAsia="Arial" w:hAnsi="Arial"/>
          <w:sz w:val="22"/>
          <w:szCs w:val="22"/>
        </w:rPr>
        <w:t xml:space="preserve">Audytor pobiera: (1) audit_events z danego dnia, (2) Merkle root z audit_day_roots, (3) timestamp_token z TSA. Jeśli hash(events) = Merkle root i timestamp_token potwierdza datę — integralność jest kryptograficznie udowodniona. Żaden punkt infrastruktury Certo nie musiał być zaufany.</w:t>
      </w:r>
    </w:p>
    <w:p>
      <w:pPr>
        <w:spacing w:after="120"/>
      </w:pPr>
      <w:r>
        <w:rPr>
          <w:rFonts w:ascii="Arial" w:cs="Arial" w:eastAsia="Arial" w:hAnsi="Arial"/>
          <w:b/>
          <w:bCs/>
          <w:sz w:val="22"/>
          <w:szCs w:val="22"/>
        </w:rPr>
        <w:t xml:space="preserve">Pieczęć eIDAS (asynchroniczna): </w:t>
      </w:r>
      <w:r>
        <w:rPr>
          <w:rFonts w:ascii="Arial" w:cs="Arial" w:eastAsia="Arial" w:hAnsi="Arial"/>
          <w:sz w:val="22"/>
          <w:szCs w:val="22"/>
        </w:rPr>
        <w:t xml:space="preserve">R-BOM publikowany natychmiast na S3 WORM. Pieczęć eIDAS: podpis odłączony (detached signature) — worker generuje osobny plik (np. rating-123.rbom.eidas) i wrzuca obok jako nową encję WORM. Zero modyfikacji zablokowanego R-BOM. Publikacja nie zależy od TSA. Monitor: alert jeśli eidas_pending &gt; 1h (DLQ dla sierot eIDAS). W sporze sądowym: domniemanie integralności (eIDAS).</w:t>
      </w:r>
    </w:p>
    <w:p>
      <w:pPr>
        <w:spacing w:after="120"/>
      </w:pPr>
      <w:r>
        <w:rPr>
          <w:rFonts w:ascii="Arial" w:cs="Arial" w:eastAsia="Arial" w:hAnsi="Arial"/>
          <w:b/>
          <w:bCs/>
          <w:sz w:val="22"/>
          <w:szCs w:val="22"/>
        </w:rPr>
        <w:t xml:space="preserve">Snapshot R-BOM zawiera: </w:t>
      </w:r>
      <w:r>
        <w:rPr>
          <w:rFonts w:ascii="Arial" w:cs="Arial" w:eastAsia="Arial" w:hAnsi="Arial"/>
          <w:sz w:val="22"/>
          <w:szCs w:val="22"/>
        </w:rPr>
        <w:t xml:space="preserve">data_snapshot (financial_indicators, governance_indicators, source_documents_hash) + methodology_version + evaluation_context_hash + policy_hash + runtime_hash. ZASADA: PII w R-BOM (np. dane ewaluatora) szyfrowane DEK przed uploadem na S3. Po crypto-shreddingu (W5) R-BOM na WORM staje się szumem. Audytor może odtworzyć decyzję od danych do wyniku.</w:t>
      </w:r>
    </w:p>
    <w:p>
      <w:pPr>
        <w:spacing w:after="120"/>
      </w:pPr>
      <w:r>
        <w:rPr>
          <w:rFonts w:ascii="Arial" w:cs="Arial" w:eastAsia="Arial" w:hAnsi="Arial"/>
          <w:b/>
          <w:bCs/>
          <w:sz w:val="22"/>
          <w:szCs w:val="22"/>
        </w:rPr>
        <w:t xml:space="preserve">Policy bundle na S3 WORM: </w:t>
      </w:r>
      <w:r>
        <w:rPr>
          <w:rFonts w:ascii="Arial" w:cs="Arial" w:eastAsia="Arial" w:hAnsi="Arial"/>
          <w:sz w:val="22"/>
          <w:szCs w:val="22"/>
        </w:rPr>
        <w:t xml:space="preserve">OPA Bundle API z podpisami kryptograficznymi: CI/CD buduje bundle .tar.gz, podpisuje kluczem Fundacji, wrzuca na S3. Kontenery API pobierają nowy bundle automatycznie (bez restartu) i weryfikują sygnaturę przed załadowaniem. Prawo deployuje się niezależnie od kodu. Policy Pinning: sprawa (rating case) przypinana do wersji polityk z momentu rozpoczęcia ewaluacji. Zmiana reguł w trakcie procesu nie wpływa na trwającą ewaluację (chyba że zmiana dotyczy prawa bezwzględnie obowiązującego — wtedy wymusza re-ewaluację). Każdy bundle zrzucany na S3 WORM z data_hash. policy_hash w R-BOM odwołuje się do fizycznego pliku.</w:t>
      </w:r>
    </w:p>
    <w:p>
      <w:pPr>
        <w:spacing w:after="120"/>
      </w:pPr>
      <w:r>
        <w:rPr>
          <w:rFonts w:ascii="Arial" w:cs="Arial" w:eastAsia="Arial" w:hAnsi="Arial"/>
          <w:b/>
          <w:bCs/>
          <w:sz w:val="22"/>
          <w:szCs w:val="22"/>
        </w:rPr>
        <w:t xml:space="preserve">CE w diagramie vs implementacja: </w:t>
      </w:r>
      <w:r>
        <w:rPr>
          <w:rFonts w:ascii="Arial" w:cs="Arial" w:eastAsia="Arial" w:hAnsi="Arial"/>
          <w:sz w:val="22"/>
          <w:szCs w:val="22"/>
        </w:rPr>
        <w:t xml:space="preserve">Kroki 3–10 (bramki NK) to logiczna separacja reguł. W kodzie: jedno wywołanie evaluate(context) zwraca pełną listę decisions[]. Diagramy rozpisują reguły dla czytelności — programista implementuje jeden IF na tablicy wyników.</w:t>
      </w:r>
    </w:p>
    <w:p>
      <w:pPr>
        <w:spacing w:after="120"/>
      </w:pPr>
      <w:r>
        <w:rPr>
          <w:rFonts w:ascii="Arial" w:cs="Arial" w:eastAsia="Arial" w:hAnsi="Arial"/>
          <w:b/>
          <w:bCs/>
          <w:sz w:val="22"/>
          <w:szCs w:val="22"/>
        </w:rPr>
        <w:t xml:space="preserve">Audit event: </w:t>
      </w:r>
      <w:r>
        <w:rPr>
          <w:rFonts w:ascii="Arial" w:cs="Arial" w:eastAsia="Arial" w:hAnsi="Arial"/>
          <w:sz w:val="22"/>
          <w:szCs w:val="22"/>
        </w:rPr>
        <w:t xml:space="preserve">Każdy BLOCK generuje audit event z rule_id, decision=BLOCK, context_hash. Każdy ALLOW generuje audit event z decision=ALLOW + pełnym R-BOM.</w:t>
      </w:r>
    </w:p>
    <w:p>
      <w:r>
        <w:br w:type="page"/>
      </w:r>
    </w:p>
    <w:p>
      <w:pPr>
        <w:pStyle w:val="Heading1"/>
        <w:spacing w:before="360" w:after="200"/>
      </w:pPr>
      <w:r>
        <w:rPr>
          <w:rFonts w:ascii="Arial" w:cs="Arial" w:eastAsia="Arial" w:hAnsi="Arial"/>
          <w:b/>
          <w:bCs/>
          <w:color w:val="00796B"/>
          <w:sz w:val="32"/>
          <w:szCs w:val="32"/>
        </w:rPr>
        <w:t xml:space="preserve">3. W2: Przypisanie ewaluatora</w:t>
      </w:r>
    </w:p>
    <w:p>
      <w:pPr>
        <w:spacing w:after="120"/>
      </w:pPr>
      <w:r>
        <w:rPr>
          <w:rFonts w:ascii="Arial" w:cs="Arial" w:eastAsia="Arial" w:hAnsi="Arial"/>
          <w:b/>
          <w:bCs/>
          <w:sz w:val="22"/>
          <w:szCs w:val="22"/>
        </w:rPr>
        <w:t xml:space="preserve">Decision point: </w:t>
      </w:r>
      <w:r>
        <w:rPr>
          <w:rFonts w:ascii="Arial" w:cs="Arial" w:eastAsia="Arial" w:hAnsi="Arial"/>
          <w:sz w:val="22"/>
          <w:szCs w:val="22"/>
        </w:rPr>
        <w:t xml:space="preserve">ASSIGN_EVALUATOR. Sprawdza konflikty, incompatibilitas, rotację i dostępność Checkerów.</w:t>
      </w:r>
    </w:p>
    <w:p>
      <w:pPr>
        <w:spacing w:after="120"/>
      </w:pPr>
      <w:r>
        <w:rPr>
          <w:rFonts w:ascii="Arial" w:cs="Arial" w:eastAsia="Arial" w:hAnsi="Arial"/>
          <w:b/>
          <w:bCs/>
          <w:sz w:val="22"/>
          <w:szCs w:val="22"/>
        </w:rPr>
        <w:t xml:space="preserve">Bramki NK: </w:t>
      </w:r>
      <w:r>
        <w:rPr>
          <w:rFonts w:ascii="Arial" w:cs="Arial" w:eastAsia="Arial" w:hAnsi="Arial"/>
          <w:sz w:val="22"/>
          <w:szCs w:val="22"/>
        </w:rPr>
        <w:t xml:space="preserve">NK-000, NK-002, NK-003, NK-004 + availableCheckers &gt; 0.</w:t>
      </w:r>
    </w:p>
    <w:p>
      <w:pPr>
        <w:spacing w:before="100"/>
      </w:pPr>
    </w:p>
    <w:p>
      <w:pPr>
        <w:pStyle w:val="Heading2"/>
        <w:spacing w:before="240" w:after="160"/>
      </w:pPr>
      <w:r>
        <w:rPr>
          <w:rFonts w:ascii="Arial" w:cs="Arial" w:eastAsia="Arial" w:hAnsi="Arial"/>
          <w:b/>
          <w:bCs/>
          <w:color w:val="263238"/>
          <w:sz w:val="28"/>
          <w:szCs w:val="28"/>
        </w:rPr>
        <w:t xml:space="preserve">3.1. Diagram przepływu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1200"/>
        <w:gridCol w:w="1600"/>
        <w:gridCol w:w="1626"/>
      </w:tblGrid>
      <w:tr>
        <w:tc>
          <w:tcPr>
            <w:tcW w:type="dxa" w:w="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Krok</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Aktor</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Akcja</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Bramka NK</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ALLOW →</w:t>
            </w:r>
          </w:p>
        </w:tc>
        <w:tc>
          <w:tcPr>
            <w:tcW w:type="dxa" w:w="16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BLOCK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Koordynator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Wybiera ewaluatora do sprawy w UI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SELECT get_eval_context(actor_id, rating_id)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JSON context</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NK-000: Fail-Closed Default</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4</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HTTP 503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NK-002: Incompatibilitas (macierz ról: ewaluator vs podmiot)</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5</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ról niekompatybilna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NK-003: Conflict Checker (Register of Interests + deklaracje)</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6</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aktywny konflikt interesów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NK-004: Rotation Tracker (max cykli dla tego podmiotu)</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7</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limit rotacji przekroczony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availableCheckers &gt; 0 (prewencja deadlock NK-005)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Custom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8</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brak dostępnych Checkerów</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Wszystkie ALLOW → INSERT assignment + audit event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Zakończony</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bl>
    <w:p>
      <w:pPr>
        <w:spacing w:before="150"/>
      </w:pPr>
    </w:p>
    <w:p>
      <w:pPr>
        <w:pStyle w:val="Heading2"/>
        <w:spacing w:before="240" w:after="160"/>
      </w:pPr>
      <w:r>
        <w:rPr>
          <w:rFonts w:ascii="Arial" w:cs="Arial" w:eastAsia="Arial" w:hAnsi="Arial"/>
          <w:b/>
          <w:bCs/>
          <w:color w:val="263238"/>
          <w:sz w:val="28"/>
          <w:szCs w:val="28"/>
        </w:rPr>
        <w:t xml:space="preserve">3.2. Notatki implementacyjne</w:t>
      </w:r>
    </w:p>
    <w:p>
      <w:pPr>
        <w:spacing w:after="120"/>
      </w:pPr>
      <w:r>
        <w:rPr>
          <w:rFonts w:ascii="Arial" w:cs="Arial" w:eastAsia="Arial" w:hAnsi="Arial"/>
          <w:b/>
          <w:bCs/>
          <w:sz w:val="22"/>
          <w:szCs w:val="22"/>
        </w:rPr>
        <w:t xml:space="preserve">NK-003 Nightly Scan: </w:t>
      </w:r>
      <w:r>
        <w:rPr>
          <w:rFonts w:ascii="Arial" w:cs="Arial" w:eastAsia="Arial" w:hAnsi="Arial"/>
          <w:sz w:val="22"/>
          <w:szCs w:val="22"/>
        </w:rPr>
        <w:t xml:space="preserve">Oprócz synchronicznego sprawdzenia przy przypisaniu, nightly worker skanuje konflikty post-factum (nowe dane z CRBR/KRS mogą ujawnić konflikt nieznany w momencie przypisania).</w:t>
      </w:r>
    </w:p>
    <w:p>
      <w:pPr>
        <w:spacing w:after="120"/>
      </w:pPr>
      <w:r>
        <w:rPr>
          <w:rFonts w:ascii="Arial" w:cs="Arial" w:eastAsia="Arial" w:hAnsi="Arial"/>
          <w:b/>
          <w:bCs/>
          <w:sz w:val="22"/>
          <w:szCs w:val="22"/>
        </w:rPr>
        <w:t xml:space="preserve">NK-004 Auto-Waiver: </w:t>
      </w:r>
      <w:r>
        <w:rPr>
          <w:rFonts w:ascii="Arial" w:cs="Arial" w:eastAsia="Arial" w:hAnsi="Arial"/>
          <w:sz w:val="22"/>
          <w:szCs w:val="22"/>
        </w:rPr>
        <w:t xml:space="preserve">Jeśli ewaluator przekroczył limit rotacji, system generuje auto-waiver workflow (zatwierdzenie przez Kolegium Standardu). Nie jest to automatyczny ALLOW.</w:t>
      </w:r>
    </w:p>
    <w:p>
      <w:pPr>
        <w:spacing w:after="120"/>
      </w:pPr>
      <w:r>
        <w:rPr>
          <w:rFonts w:ascii="Arial" w:cs="Arial" w:eastAsia="Arial" w:hAnsi="Arial"/>
          <w:b/>
          <w:bCs/>
          <w:sz w:val="22"/>
          <w:szCs w:val="22"/>
        </w:rPr>
        <w:t xml:space="preserve">Deadlock Prevention (predykcyjne): </w:t>
      </w:r>
      <w:r>
        <w:rPr>
          <w:rFonts w:ascii="Arial" w:cs="Arial" w:eastAsia="Arial" w:hAnsi="Arial"/>
          <w:sz w:val="22"/>
          <w:szCs w:val="22"/>
        </w:rPr>
        <w:t xml:space="preserve">get_eval_context() liczy availableCheckers: COUNT aktywnych ewaluatorów minus contributors EXCEPT user_id FROM conflicts WHERE entity_id = X. To nie duplikacja logiki OPA — to higiena danych wejściowych (2ms SQL). Zapobiega sytuacji, gdzie proste przypisanie wymusza Break-Glass z powodu braku eligible Checkera.</w:t>
      </w:r>
    </w:p>
    <w:p>
      <w:r>
        <w:br w:type="page"/>
      </w:r>
    </w:p>
    <w:p>
      <w:pPr>
        <w:pStyle w:val="Heading1"/>
        <w:spacing w:before="360" w:after="200"/>
      </w:pPr>
      <w:r>
        <w:rPr>
          <w:rFonts w:ascii="Arial" w:cs="Arial" w:eastAsia="Arial" w:hAnsi="Arial"/>
          <w:b/>
          <w:bCs/>
          <w:color w:val="00796B"/>
          <w:sz w:val="32"/>
          <w:szCs w:val="32"/>
        </w:rPr>
        <w:t xml:space="preserve">4. W3: Rejestracja darowizny</w:t>
      </w:r>
    </w:p>
    <w:p>
      <w:pPr>
        <w:spacing w:after="120"/>
      </w:pPr>
      <w:r>
        <w:rPr>
          <w:rFonts w:ascii="Arial" w:cs="Arial" w:eastAsia="Arial" w:hAnsi="Arial"/>
          <w:b/>
          <w:bCs/>
          <w:sz w:val="22"/>
          <w:szCs w:val="22"/>
        </w:rPr>
        <w:t xml:space="preserve">Decision point: </w:t>
      </w:r>
      <w:r>
        <w:rPr>
          <w:rFonts w:ascii="Arial" w:cs="Arial" w:eastAsia="Arial" w:hAnsi="Arial"/>
          <w:sz w:val="22"/>
          <w:szCs w:val="22"/>
        </w:rPr>
        <w:t xml:space="preserve">REGISTER_DONATION. Kwarantanna, weryfikacja sankcji, Maker-Checker approval.</w:t>
      </w:r>
    </w:p>
    <w:p>
      <w:pPr>
        <w:spacing w:after="120"/>
      </w:pPr>
      <w:r>
        <w:rPr>
          <w:rFonts w:ascii="Arial" w:cs="Arial" w:eastAsia="Arial" w:hAnsi="Arial"/>
          <w:b/>
          <w:bCs/>
          <w:sz w:val="22"/>
          <w:szCs w:val="22"/>
        </w:rPr>
        <w:t xml:space="preserve">Bramki NK: </w:t>
      </w:r>
      <w:r>
        <w:rPr>
          <w:rFonts w:ascii="Arial" w:cs="Arial" w:eastAsia="Arial" w:hAnsi="Arial"/>
          <w:sz w:val="22"/>
          <w:szCs w:val="22"/>
        </w:rPr>
        <w:t xml:space="preserve">NK-000, NK-011 (sync: direct donor; async: affiliates/sanctions).</w:t>
      </w:r>
    </w:p>
    <w:p>
      <w:pPr>
        <w:spacing w:before="100"/>
      </w:pPr>
    </w:p>
    <w:p>
      <w:pPr>
        <w:pStyle w:val="Heading2"/>
        <w:spacing w:before="240" w:after="160"/>
      </w:pPr>
      <w:r>
        <w:rPr>
          <w:rFonts w:ascii="Arial" w:cs="Arial" w:eastAsia="Arial" w:hAnsi="Arial"/>
          <w:b/>
          <w:bCs/>
          <w:color w:val="263238"/>
          <w:sz w:val="28"/>
          <w:szCs w:val="28"/>
        </w:rPr>
        <w:t xml:space="preserve">4.1. Diagram przepływu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1200"/>
        <w:gridCol w:w="1600"/>
        <w:gridCol w:w="1626"/>
      </w:tblGrid>
      <w:tr>
        <w:tc>
          <w:tcPr>
            <w:tcW w:type="dxa" w:w="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Krok</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Aktor</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Akcja</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Bramka NK</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ALLOW →</w:t>
            </w:r>
          </w:p>
        </w:tc>
        <w:tc>
          <w:tcPr>
            <w:tcW w:type="dxa" w:w="16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BLOCK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 Bank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Wpływa darowizna (webhook / manual upload)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Decision point REGISTER_RAW_DONATION: OPA ewaluuje NK-SCHEMA (walidacja struktury payloadu). ALLOW → INSERT donation (status=QUARANTINE).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3</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Trigger: PROCESS_DONATION. SELECT get_eval_context(donor_entity_id)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JSON context</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NK-000: Fail-Closed Default</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5</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HTTP 503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NK-011a: Donor = podmiot oceniany? (sync check)</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6</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(IS_EVALUATED_ENTITY) → API: status MUST_RETURN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NK-011b: Sanctions check (sync: lista krajowa)</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7</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(SANCTIONS_LIST_MATCH) → API: status BLOCKED_SANCTIONS</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Status → ACCEPT_AND_QUARANTINE (czeka na async)</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8</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worker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NK-011c: Affiliates CRBR check (polling: pg_cron co 5 min SELECT donations WHERE async_checked=false)</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9</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FLAG: powiązanie kapitałowe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Nightly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NK-011d: Continuous KYC (nightly scan starych rekordów)</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NK-011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10</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nowa sankcja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Oficer Compl.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Maker: zatwierdza darowiznę. OPA BLOCK jeśli donation.async_checked == false.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11</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Przew. Izby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Checker: potwierdza (approved_by_checker)</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12</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Maker = Checker</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Status → APPROVED. Audit event.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Zakończony</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bl>
    <w:p>
      <w:pPr>
        <w:spacing w:before="150"/>
      </w:pPr>
    </w:p>
    <w:p>
      <w:pPr>
        <w:pStyle w:val="Heading2"/>
        <w:spacing w:before="240" w:after="160"/>
      </w:pPr>
      <w:r>
        <w:rPr>
          <w:rFonts w:ascii="Arial" w:cs="Arial" w:eastAsia="Arial" w:hAnsi="Arial"/>
          <w:b/>
          <w:bCs/>
          <w:color w:val="263238"/>
          <w:sz w:val="28"/>
          <w:szCs w:val="28"/>
        </w:rPr>
        <w:t xml:space="preserve">4.2. Notatki implementacyjne</w:t>
      </w:r>
    </w:p>
    <w:p>
      <w:pPr>
        <w:spacing w:after="120"/>
      </w:pPr>
      <w:r>
        <w:rPr>
          <w:rFonts w:ascii="Arial" w:cs="Arial" w:eastAsia="Arial" w:hAnsi="Arial"/>
          <w:b/>
          <w:bCs/>
          <w:sz w:val="22"/>
          <w:szCs w:val="22"/>
        </w:rPr>
        <w:t xml:space="preserve">Kwarantanna: </w:t>
      </w:r>
      <w:r>
        <w:rPr>
          <w:rFonts w:ascii="Arial" w:cs="Arial" w:eastAsia="Arial" w:hAnsi="Arial"/>
          <w:sz w:val="22"/>
          <w:szCs w:val="22"/>
        </w:rPr>
        <w:t xml:space="preserve">Każda darowizna trafia do QUARANTINE natychmiast. OPA nie zwraca BLOCK (pieniądze już na koncie) — zwraca dyrektywę stanu: MUST_RETURN (do odeslańia) lub BLOCKED_SANCTIONS (zamrożone). System ZAWSZE zapisuje darowiznę w DB — księgowość musi zepnąć audyt finansowy.</w:t>
      </w:r>
    </w:p>
    <w:p>
      <w:pPr>
        <w:spacing w:after="120"/>
      </w:pPr>
      <w:r>
        <w:rPr>
          <w:rFonts w:ascii="Arial" w:cs="Arial" w:eastAsia="Arial" w:hAnsi="Arial"/>
          <w:b/>
          <w:bCs/>
          <w:sz w:val="22"/>
          <w:szCs w:val="22"/>
        </w:rPr>
        <w:t xml:space="preserve">ACCEPT_AND_QUARANTINE: </w:t>
      </w:r>
      <w:r>
        <w:rPr>
          <w:rFonts w:ascii="Arial" w:cs="Arial" w:eastAsia="Arial" w:hAnsi="Arial"/>
          <w:sz w:val="22"/>
          <w:szCs w:val="22"/>
        </w:rPr>
        <w:t xml:space="preserve">Status pośredni: sync checks przeszły. Async CRBR/KYC: Graphile Worker przetwarza task_queue. Faza 2: Perpetual KYC (pKYC) via webhook od dostawcy AML (ComplyAdvantage / LexisNexis) — zmiana listy sankcyjnej natychmiast aktualizuje status darczyńcy (watchlist_refresh_event). Banalny, idempotentny, niemożliwy do zepsucia. LIMIT zapobiega blokadzie DB przy dużym backlogu. Zero kolejek, zero Lambda → natychmiastowy async check CRBR/affiliates (~5s, nie 24h). Nightly: tylko Continuous KYC (skanowanie starych rekordów). Darowizna NIE może być użyta do pełnego APPROVED.</w:t>
      </w:r>
    </w:p>
    <w:p>
      <w:pPr>
        <w:spacing w:after="120"/>
      </w:pPr>
      <w:r>
        <w:rPr>
          <w:rFonts w:ascii="Arial" w:cs="Arial" w:eastAsia="Arial" w:hAnsi="Arial"/>
          <w:b/>
          <w:bCs/>
          <w:sz w:val="22"/>
          <w:szCs w:val="22"/>
        </w:rPr>
        <w:t xml:space="preserve">Fast-Track Resolution: </w:t>
      </w:r>
      <w:r>
        <w:rPr>
          <w:rFonts w:ascii="Arial" w:cs="Arial" w:eastAsia="Arial" w:hAnsi="Arial"/>
          <w:sz w:val="22"/>
          <w:szCs w:val="22"/>
        </w:rPr>
        <w:t xml:space="preserve">Jeśli nightly scan wykryje problem (affiliates), system generuje Maker-Checker workflow do rozstrzygnięcia (RETURN lub BLOCK).</w:t>
      </w:r>
    </w:p>
    <w:p>
      <w:pPr>
        <w:spacing w:after="120"/>
      </w:pPr>
      <w:r>
        <w:rPr>
          <w:rFonts w:ascii="Arial" w:cs="Arial" w:eastAsia="Arial" w:hAnsi="Arial"/>
          <w:b/>
          <w:bCs/>
          <w:sz w:val="22"/>
          <w:szCs w:val="22"/>
        </w:rPr>
        <w:t xml:space="preserve">NK-011: OPA = binarna decyzja, API = routing: </w:t>
      </w:r>
      <w:r>
        <w:rPr>
          <w:rFonts w:ascii="Arial" w:cs="Arial" w:eastAsia="Arial" w:hAnsi="Arial"/>
          <w:sz w:val="22"/>
          <w:szCs w:val="22"/>
        </w:rPr>
        <w:t xml:space="preserve">OPA zwraca twardy BLOCK z violations[]: np. SANCTIONS_LIST_MATCH lub IS_EVALUATED_ENTITY. API czyta powód BLOCKa i na tej podstawie decyduje o statusie: MUST_RETURN (konflikt) lub BLOCKED_SANCTIONS (sankcje, AML). OPA chroni proces, API mówi księgowości co zrobić z przelewem. Jednolity kontrakt OPA we wszystkich workflow.</w:t>
      </w:r>
    </w:p>
    <w:p>
      <w:pPr>
        <w:spacing w:after="120"/>
      </w:pPr>
      <w:r>
        <w:rPr>
          <w:rFonts w:ascii="Arial" w:cs="Arial" w:eastAsia="Arial" w:hAnsi="Arial"/>
          <w:b/>
          <w:bCs/>
          <w:sz w:val="22"/>
          <w:szCs w:val="22"/>
        </w:rPr>
        <w:t xml:space="preserve">AML: </w:t>
      </w:r>
      <w:r>
        <w:rPr>
          <w:rFonts w:ascii="Arial" w:cs="Arial" w:eastAsia="Arial" w:hAnsi="Arial"/>
          <w:sz w:val="22"/>
          <w:szCs w:val="22"/>
        </w:rPr>
        <w:t xml:space="preserve">Status BLOCKED_SANCTIONS automatycznie uruchamia workflow zgłoszenia AML. PRIORYTET: BLOCKED_SANCTIONS absolutnie nadpisuje MUST_RETURN. Zwrócenie środków podmiotowi objętemu sankcjami = przestępstwo. OPA violations posortowane wg wagi prawnej: sanctions &gt; donor_block &gt; default. Dodatkowa reguła: REFUND_DONATION + status=BLOCKED_SANCTIONS = twardy BLOCK. Środki na koncie depozytowym do decyzji GIIF/prokuratury.</w:t>
      </w:r>
    </w:p>
    <w:p>
      <w:pPr>
        <w:spacing w:after="120"/>
      </w:pPr>
      <w:r>
        <w:rPr>
          <w:rFonts w:ascii="Arial" w:cs="Arial" w:eastAsia="Arial" w:hAnsi="Arial"/>
          <w:b/>
          <w:bCs/>
          <w:sz w:val="22"/>
          <w:szCs w:val="22"/>
        </w:rPr>
        <w:t xml:space="preserve">Zegar prawny: </w:t>
      </w:r>
      <w:r>
        <w:rPr>
          <w:rFonts w:ascii="Arial" w:cs="Arial" w:eastAsia="Arial" w:hAnsi="Arial"/>
          <w:sz w:val="22"/>
          <w:szCs w:val="22"/>
        </w:rPr>
        <w:t xml:space="preserve">Darowizna w QUARANTINE ma timer. Regulacje mogą wymagać zwrotu po upływie X dni bez decyzji.</w:t>
      </w:r>
    </w:p>
    <w:p>
      <w:pPr>
        <w:spacing w:after="120"/>
      </w:pPr>
      <w:r>
        <w:rPr>
          <w:rFonts w:ascii="Arial" w:cs="Arial" w:eastAsia="Arial" w:hAnsi="Arial"/>
          <w:b/>
          <w:bCs/>
          <w:sz w:val="22"/>
          <w:szCs w:val="22"/>
        </w:rPr>
        <w:t xml:space="preserve">Segregacja środków AML: </w:t>
      </w:r>
      <w:r>
        <w:rPr>
          <w:rFonts w:ascii="Arial" w:cs="Arial" w:eastAsia="Arial" w:hAnsi="Arial"/>
          <w:sz w:val="22"/>
          <w:szCs w:val="22"/>
        </w:rPr>
        <w:t xml:space="preserve">Środki BLOCKED_SANCTIONS i QUARANTINE powinny być na rachunku wydzielonym. Procedura księgowa, nie techniczna.</w:t>
      </w:r>
    </w:p>
    <w:p>
      <w:pPr>
        <w:spacing w:after="120"/>
      </w:pPr>
      <w:r>
        <w:rPr>
          <w:rFonts w:ascii="Arial" w:cs="Arial" w:eastAsia="Arial" w:hAnsi="Arial"/>
          <w:b/>
          <w:bCs/>
          <w:sz w:val="22"/>
          <w:szCs w:val="22"/>
        </w:rPr>
        <w:t xml:space="preserve">AML False-Positive Override: </w:t>
      </w:r>
      <w:r>
        <w:rPr>
          <w:rFonts w:ascii="Arial" w:cs="Arial" w:eastAsia="Arial" w:hAnsi="Arial"/>
          <w:sz w:val="22"/>
          <w:szCs w:val="22"/>
        </w:rPr>
        <w:t xml:space="preserve">Jeśli sanctions check zwrócił false positive (inny Jan Kowalski), Oficer Compliance może zaktualizować status z BLOCKED_SANCTIONS na QUARANTINE_CLEARED. Wymaga: OPA decision point OVERRIDE_SANCTIONS + override_reason (min. 200 znaków) + audit event Tier-1. Maker-Checker.</w:t>
      </w:r>
    </w:p>
    <w:p>
      <w:r>
        <w:br w:type="page"/>
      </w:r>
    </w:p>
    <w:p>
      <w:pPr>
        <w:pStyle w:val="Heading1"/>
        <w:spacing w:before="360" w:after="200"/>
      </w:pPr>
      <w:r>
        <w:rPr>
          <w:rFonts w:ascii="Arial" w:cs="Arial" w:eastAsia="Arial" w:hAnsi="Arial"/>
          <w:b/>
          <w:bCs/>
          <w:color w:val="00796B"/>
          <w:sz w:val="32"/>
          <w:szCs w:val="32"/>
        </w:rPr>
        <w:t xml:space="preserve">5. W4: Break-Glass (procedura awaryjna)</w:t>
      </w:r>
    </w:p>
    <w:p>
      <w:pPr>
        <w:spacing w:after="120"/>
      </w:pPr>
      <w:r>
        <w:rPr>
          <w:rFonts w:ascii="Arial" w:cs="Arial" w:eastAsia="Arial" w:hAnsi="Arial"/>
          <w:b/>
          <w:bCs/>
          <w:sz w:val="22"/>
          <w:szCs w:val="22"/>
        </w:rPr>
        <w:t xml:space="preserve">Cel: </w:t>
      </w:r>
      <w:r>
        <w:rPr>
          <w:rFonts w:ascii="Arial" w:cs="Arial" w:eastAsia="Arial" w:hAnsi="Arial"/>
          <w:sz w:val="22"/>
          <w:szCs w:val="22"/>
        </w:rPr>
        <w:t xml:space="preserve">Umożliwienie krytycznych operacji gdy normalna ścieżka CE jest zablokowana. Break-Glass to nakładka (wrapper) na inne workflowy (W1, W2, W3) — nie osobny strumień. Aktor przekazuje tokeny YubiKey 2-of-3 podczas np. PUBLISH_RATING. API buduje standardowy Evaluation Context, ale dorzuca break_glass_active=true.</w:t>
      </w:r>
    </w:p>
    <w:p>
      <w:pPr>
        <w:spacing w:after="120"/>
      </w:pPr>
      <w:r>
        <w:rPr>
          <w:rFonts w:ascii="Arial" w:cs="Arial" w:eastAsia="Arial" w:hAnsi="Arial"/>
          <w:b/>
          <w:bCs/>
          <w:sz w:val="22"/>
          <w:szCs w:val="22"/>
        </w:rPr>
        <w:t xml:space="preserve">Mechanizm: </w:t>
      </w:r>
      <w:r>
        <w:rPr>
          <w:rFonts w:ascii="Arial" w:cs="Arial" w:eastAsia="Arial" w:hAnsi="Arial"/>
          <w:sz w:val="22"/>
          <w:szCs w:val="22"/>
        </w:rPr>
        <w:t xml:space="preserve">API weryfikuje Step-Up Authentication 2-of-3 (IdP: Entra ID / Okta / Keycloak + YubiKey) (autentykacja). OPA WASM sprawdza warunek logiczny break_glass_active + break_glass_roles (autoryzacja). Kryptografia w API, polityki w OPA.</w:t>
      </w:r>
    </w:p>
    <w:p>
      <w:pPr>
        <w:spacing w:before="100"/>
      </w:pPr>
    </w:p>
    <w:p>
      <w:pPr>
        <w:pStyle w:val="Heading2"/>
        <w:spacing w:before="240" w:after="160"/>
      </w:pPr>
      <w:r>
        <w:rPr>
          <w:rFonts w:ascii="Arial" w:cs="Arial" w:eastAsia="Arial" w:hAnsi="Arial"/>
          <w:b/>
          <w:bCs/>
          <w:color w:val="263238"/>
          <w:sz w:val="28"/>
          <w:szCs w:val="28"/>
        </w:rPr>
        <w:t xml:space="preserve">5.1. Diagram przepływu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1200"/>
        <w:gridCol w:w="1600"/>
        <w:gridCol w:w="1626"/>
      </w:tblGrid>
      <w:tr>
        <w:tc>
          <w:tcPr>
            <w:tcW w:type="dxa" w:w="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Krok</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Aktor</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Akcja</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Bramka NK</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ALLOW →</w:t>
            </w:r>
          </w:p>
        </w:tc>
        <w:tc>
          <w:tcPr>
            <w:tcW w:type="dxa" w:w="16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BLOCK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Członek Zarządu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Inicjuje procedurę Break-Glass (YubiKey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Członek Izby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Potwierdza (YubiKey #2, inny pion)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3</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Step-Up Auth: 2 osoby wkładają YubiKey w IdP. IdP zwraca JWT z acr=phr + break_glass=true + organ_id[]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4</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nieprawidłowe tokeny</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Buduje Eval Context dla docelowego workflow + break_glass_active=true, break_glass_roles</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5</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Reguła Break-Glass: allow if break_glass_active AND count(roles) ≥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BG-001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6</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warunek niesp.</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OPA ewaluuje WSZYSTKIE reguły docelowego workflow (BG-001 nadpisuje blokady)</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7</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INSERT audit_event: Tier-1, action=BREAK_GLASS + bypassed_violations[] (które reguły ominęto)</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8</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Izba Nadzoru</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Obowiązkowy post-mortem w 72h (reżim RADIOACTIVE)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Zakończony</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bl>
    <w:p>
      <w:pPr>
        <w:spacing w:before="150"/>
      </w:pPr>
    </w:p>
    <w:p>
      <w:pPr>
        <w:pStyle w:val="Heading2"/>
        <w:spacing w:before="240" w:after="160"/>
      </w:pPr>
      <w:r>
        <w:rPr>
          <w:rFonts w:ascii="Arial" w:cs="Arial" w:eastAsia="Arial" w:hAnsi="Arial"/>
          <w:b/>
          <w:bCs/>
          <w:color w:val="263238"/>
          <w:sz w:val="28"/>
          <w:szCs w:val="28"/>
        </w:rPr>
        <w:t xml:space="preserve">5.2. Notatki implementacyjne</w:t>
      </w:r>
    </w:p>
    <w:p>
      <w:pPr>
        <w:spacing w:after="120"/>
      </w:pPr>
      <w:r>
        <w:rPr>
          <w:rFonts w:ascii="Arial" w:cs="Arial" w:eastAsia="Arial" w:hAnsi="Arial"/>
          <w:b/>
          <w:bCs/>
          <w:sz w:val="22"/>
          <w:szCs w:val="22"/>
        </w:rPr>
        <w:t xml:space="preserve">2-of-3 z dwóch pionów: </w:t>
      </w:r>
      <w:r>
        <w:rPr>
          <w:rFonts w:ascii="Arial" w:cs="Arial" w:eastAsia="Arial" w:hAnsi="Arial"/>
          <w:sz w:val="22"/>
          <w:szCs w:val="22"/>
        </w:rPr>
        <w:t xml:space="preserve">Dopuszczalni sygnatariusze: Zarząd (BOARD), Izba Nadzoru (IZBA), Kolegium Standardu (KOLEGIUM). Reguła: count(signatures) &gt;= 2 AND count(DISTINCT organ_id) &gt;= 2. Prezes + Wiceprezes = 2 podpisy, ale 1 pion = BLOCK. Jeden pion nie może sam autoryzować Break-Glass.</w:t>
      </w:r>
    </w:p>
    <w:p>
      <w:pPr>
        <w:spacing w:after="120"/>
      </w:pPr>
      <w:r>
        <w:rPr>
          <w:rFonts w:ascii="Arial" w:cs="Arial" w:eastAsia="Arial" w:hAnsi="Arial"/>
          <w:b/>
          <w:bCs/>
          <w:sz w:val="22"/>
          <w:szCs w:val="22"/>
        </w:rPr>
        <w:t xml:space="preserve">NK-SCHEMA = Hard Limit: </w:t>
      </w:r>
      <w:r>
        <w:rPr>
          <w:rFonts w:ascii="Arial" w:cs="Arial" w:eastAsia="Arial" w:hAnsi="Arial"/>
          <w:sz w:val="22"/>
          <w:szCs w:val="22"/>
        </w:rPr>
        <w:t xml:space="preserve">Break-Glass NIE MOżE nadpisać NK-SCHEMA. Uszkodzony payload (brak UUID, zły typ) = BLOCK nawet z 3 kluczami YubiKey. BG-001 nadpisuje wyłącznie blokady proceduralne (NK-005, NK-007, NK-011, NK-012), nigdy walidację schematu (SCHEMA) ani reguły integralności danych i metodologii (NK-017 Methodology Lock, NK-018 Source Data Integrity).</w:t>
      </w:r>
    </w:p>
    <w:p>
      <w:pPr>
        <w:spacing w:after="120"/>
      </w:pPr>
      <w:r>
        <w:rPr>
          <w:rFonts w:ascii="Arial" w:cs="Arial" w:eastAsia="Arial" w:hAnsi="Arial"/>
          <w:b/>
          <w:bCs/>
          <w:sz w:val="22"/>
          <w:szCs w:val="22"/>
        </w:rPr>
        <w:t xml:space="preserve">Ograniczenie reputacyjne: </w:t>
      </w:r>
      <w:r>
        <w:rPr>
          <w:rFonts w:ascii="Arial" w:cs="Arial" w:eastAsia="Arial" w:hAnsi="Arial"/>
          <w:sz w:val="22"/>
          <w:szCs w:val="22"/>
        </w:rPr>
        <w:t xml:space="preserve">Break-Glass może ominąć blokady proceduralne, ale NIGDY nie może zmienić metodologii (NK-017), danych (NK-018) ani wyniku modelu. Jeśli break_glass_active=true, flaga MUSI być częścią publicznego R-BOM ratingu (transparentność rynkowa wg ISO 37301 / IOSCO). Inwestor widzi, że dokument powstał w trybie awaryjnym.</w:t>
      </w:r>
    </w:p>
    <w:p>
      <w:pPr>
        <w:spacing w:after="120"/>
      </w:pPr>
      <w:r>
        <w:rPr>
          <w:rFonts w:ascii="Arial" w:cs="Arial" w:eastAsia="Arial" w:hAnsi="Arial"/>
          <w:b/>
          <w:bCs/>
          <w:sz w:val="22"/>
          <w:szCs w:val="22"/>
        </w:rPr>
        <w:t xml:space="preserve">Scope Break-Glass: </w:t>
      </w:r>
      <w:r>
        <w:rPr>
          <w:rFonts w:ascii="Arial" w:cs="Arial" w:eastAsia="Arial" w:hAnsi="Arial"/>
          <w:sz w:val="22"/>
          <w:szCs w:val="22"/>
        </w:rPr>
        <w:t xml:space="preserve">RADIOACTIVE Break-Glass blokuje NOWE ratingi w kontekście sprawy/podmiotu (nie globalnie). Globalna blokada = uchwała Zarządu Crisis Management.</w:t>
      </w:r>
    </w:p>
    <w:p>
      <w:pPr>
        <w:spacing w:after="120"/>
      </w:pPr>
      <w:r>
        <w:rPr>
          <w:rFonts w:ascii="Arial" w:cs="Arial" w:eastAsia="Arial" w:hAnsi="Arial"/>
          <w:b/>
          <w:bCs/>
          <w:sz w:val="22"/>
          <w:szCs w:val="22"/>
        </w:rPr>
        <w:t xml:space="preserve">Break-Glass Drill: </w:t>
      </w:r>
      <w:r>
        <w:rPr>
          <w:rFonts w:ascii="Arial" w:cs="Arial" w:eastAsia="Arial" w:hAnsi="Arial"/>
          <w:sz w:val="22"/>
          <w:szCs w:val="22"/>
        </w:rPr>
        <w:t xml:space="preserve">Co 6 miesięcy w środowisku staging. Drill = test AuthZ, nie biznes logiki. API buduje testowy Eval Context, wysyła do OPA WASM, otrzymuje ALLOW (BG-001). API NIE uruchamia kodu operacji (brak S3, brak DB write, brak eIDAS). Jedyny zapis: INSERT audit_event is_drill=true. Zero ryzyka wycieku side-effectów (maile, S3, pg_notify).</w:t>
      </w:r>
    </w:p>
    <w:p>
      <w:pPr>
        <w:spacing w:after="120"/>
      </w:pPr>
      <w:r>
        <w:rPr>
          <w:rFonts w:ascii="Arial" w:cs="Arial" w:eastAsia="Arial" w:hAnsi="Arial"/>
          <w:b/>
          <w:bCs/>
          <w:sz w:val="22"/>
          <w:szCs w:val="22"/>
        </w:rPr>
        <w:t xml:space="preserve">Break-Glass = bypass POLITYK, nie INFRASTRUKTURY: </w:t>
      </w:r>
      <w:r>
        <w:rPr>
          <w:rFonts w:ascii="Arial" w:cs="Arial" w:eastAsia="Arial" w:hAnsi="Arial"/>
          <w:sz w:val="22"/>
          <w:szCs w:val="22"/>
        </w:rPr>
        <w:t xml:space="preserve">Break-Glass omija zablokowane reguły biznesowe (np. NK-007 termin nie upłynął). Jeśli padnie proces OPA/WASM (awaria infrastruktury), żaden YubiKey nie pozwoli opublikować ratingu — do naprawy służy DevOps/restart, nie Break-Glass. HTTP 503 dla wszystkich mutacji.</w:t>
      </w:r>
    </w:p>
    <w:p>
      <w:r>
        <w:br w:type="page"/>
      </w:r>
    </w:p>
    <w:p>
      <w:pPr>
        <w:pStyle w:val="Heading1"/>
        <w:spacing w:before="360" w:after="200"/>
      </w:pPr>
      <w:r>
        <w:rPr>
          <w:rFonts w:ascii="Arial" w:cs="Arial" w:eastAsia="Arial" w:hAnsi="Arial"/>
          <w:b/>
          <w:bCs/>
          <w:color w:val="00796B"/>
          <w:sz w:val="32"/>
          <w:szCs w:val="32"/>
        </w:rPr>
        <w:t xml:space="preserve">6. W5: Crypto-shredding RODO (art. 17)</w:t>
      </w:r>
    </w:p>
    <w:p>
      <w:pPr>
        <w:spacing w:after="120"/>
      </w:pPr>
      <w:r>
        <w:rPr>
          <w:rFonts w:ascii="Arial" w:cs="Arial" w:eastAsia="Arial" w:hAnsi="Arial"/>
          <w:b/>
          <w:bCs/>
          <w:sz w:val="22"/>
          <w:szCs w:val="22"/>
        </w:rPr>
        <w:t xml:space="preserve">Cel: </w:t>
      </w:r>
      <w:r>
        <w:rPr>
          <w:rFonts w:ascii="Arial" w:cs="Arial" w:eastAsia="Arial" w:hAnsi="Arial"/>
          <w:sz w:val="22"/>
          <w:szCs w:val="22"/>
        </w:rPr>
        <w:t xml:space="preserve">Realizacja prawa do usunięcia (RODO art. 17) bez łamania append-only audit ledger i WORM S3.</w:t>
      </w:r>
    </w:p>
    <w:p>
      <w:pPr>
        <w:spacing w:after="120"/>
      </w:pPr>
      <w:r>
        <w:rPr>
          <w:rFonts w:ascii="Arial" w:cs="Arial" w:eastAsia="Arial" w:hAnsi="Arial"/>
          <w:b/>
          <w:bCs/>
          <w:sz w:val="22"/>
          <w:szCs w:val="22"/>
        </w:rPr>
        <w:t xml:space="preserve">Mechanizm: </w:t>
      </w:r>
      <w:r>
        <w:rPr>
          <w:rFonts w:ascii="Arial" w:cs="Arial" w:eastAsia="Arial" w:hAnsi="Arial"/>
          <w:sz w:val="22"/>
          <w:szCs w:val="22"/>
        </w:rPr>
        <w:t xml:space="preserve">Crypto-shredding: usunięcie klucza DEK z dek_registry sprawia, że zaszyfrowane dane (pii_encrypted w audit_events, pliki na S3 WORM) stają się trwałym szumem kryptograficznym. Metadane (metadata JSONB) pozostają przeszukiwalne.</w:t>
      </w:r>
    </w:p>
    <w:p>
      <w:pPr>
        <w:spacing w:before="100"/>
      </w:pPr>
    </w:p>
    <w:p>
      <w:pPr>
        <w:pStyle w:val="Heading2"/>
        <w:spacing w:before="240" w:after="160"/>
      </w:pPr>
      <w:r>
        <w:rPr>
          <w:rFonts w:ascii="Arial" w:cs="Arial" w:eastAsia="Arial" w:hAnsi="Arial"/>
          <w:b/>
          <w:bCs/>
          <w:color w:val="263238"/>
          <w:sz w:val="28"/>
          <w:szCs w:val="28"/>
        </w:rPr>
        <w:t xml:space="preserve">6.1. Diagram przepływu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1200"/>
        <w:gridCol w:w="1600"/>
        <w:gridCol w:w="1626"/>
      </w:tblGrid>
      <w:tr>
        <w:tc>
          <w:tcPr>
            <w:tcW w:type="dxa" w:w="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Krok</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Aktor</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Akcja</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Bramka NK</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ALLOW →</w:t>
            </w:r>
          </w:p>
        </w:tc>
        <w:tc>
          <w:tcPr>
            <w:tcW w:type="dxa" w:w="16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BLOCK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Podmiot danych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Składa wniosek o usunięcie danych (RODO art. 17)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DPO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Weryfikuje zasadność wniosku (prawna ocena)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3</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REJECT: brak podstawy prawnej</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Decision point APPROVE_SHREDDING: OPA sprawdza twarde blokady prawne (AML/sanctions active? retencja archiwizacyjna?)</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4</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DPO</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OPA ALLOW → UPDATE dek_registry SET status=PENDING_SHREDDING</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5</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AML/retencja aktywna</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System (RLS)</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Natychmiastowe ukrycie danych: RLS ukrywa PENDING_SHREDDING dla app_user</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6</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Tabela users: PII (email, name) → hash+salt (anonimizacja UUID)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7</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COOLING-OFF: 7 dni. Możliwość odwrócenia omyłkowego/złośliwego zniszczenia.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8</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DPO cofa status</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Skrypt (cron)</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DELETE FROM dek_registry WHERE status='PENDING_SHREDDING' AND pending_since &lt; now() - 7d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8</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9</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DEK usunięty z Postgres = dane nieodwracalnie utracone. Zero wywołań KMS (CMK pozostaje, tylko DEK znika).</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9</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WORM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Pliki pozostają na WORM, ale bez DEK = nieczytelny szum kryptograficzny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10</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S3 (Governance)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DPO (s3:BypassGovernanceRetention + MFA) może usunąć fizycznie zniszczone pliki</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Zakończony</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bl>
    <w:p>
      <w:pPr>
        <w:spacing w:before="150"/>
      </w:pPr>
    </w:p>
    <w:p>
      <w:pPr>
        <w:pStyle w:val="Heading2"/>
        <w:spacing w:before="240" w:after="160"/>
      </w:pPr>
      <w:r>
        <w:rPr>
          <w:rFonts w:ascii="Arial" w:cs="Arial" w:eastAsia="Arial" w:hAnsi="Arial"/>
          <w:b/>
          <w:bCs/>
          <w:color w:val="263238"/>
          <w:sz w:val="28"/>
          <w:szCs w:val="28"/>
        </w:rPr>
        <w:t xml:space="preserve">6.2. Notatki implementacyjne</w:t>
      </w:r>
    </w:p>
    <w:p>
      <w:pPr>
        <w:spacing w:after="120"/>
      </w:pPr>
      <w:r>
        <w:rPr>
          <w:rFonts w:ascii="Arial" w:cs="Arial" w:eastAsia="Arial" w:hAnsi="Arial"/>
          <w:b/>
          <w:bCs/>
          <w:sz w:val="22"/>
          <w:szCs w:val="22"/>
        </w:rPr>
        <w:t xml:space="preserve">Append-only nietknięty: </w:t>
      </w:r>
      <w:r>
        <w:rPr>
          <w:rFonts w:ascii="Arial" w:cs="Arial" w:eastAsia="Arial" w:hAnsi="Arial"/>
          <w:sz w:val="22"/>
          <w:szCs w:val="22"/>
        </w:rPr>
        <w:t xml:space="preserve">audit_events nie jest modyfikowany ani kasowany. Kolumna pii_encrypted staje się niemożliwa do odszyfrowania (brak DEK). Kolumna metadata (plaintext) zachowuje ślad audytowy bez PII.</w:t>
      </w:r>
    </w:p>
    <w:p>
      <w:pPr>
        <w:spacing w:after="120"/>
      </w:pPr>
      <w:r>
        <w:rPr>
          <w:rFonts w:ascii="Arial" w:cs="Arial" w:eastAsia="Arial" w:hAnsi="Arial"/>
          <w:b/>
          <w:bCs/>
          <w:sz w:val="22"/>
          <w:szCs w:val="22"/>
        </w:rPr>
        <w:t xml:space="preserve">UUID anonimizacja: </w:t>
      </w:r>
      <w:r>
        <w:rPr>
          <w:rFonts w:ascii="Arial" w:cs="Arial" w:eastAsia="Arial" w:hAnsi="Arial"/>
          <w:sz w:val="22"/>
          <w:szCs w:val="22"/>
        </w:rPr>
        <w:t xml:space="preserve">Po usunięciu PII z tabeli users, UUID w audit_events staje się trwale zanonimizowany.</w:t>
      </w:r>
    </w:p>
    <w:p>
      <w:pPr>
        <w:spacing w:after="120"/>
      </w:pPr>
      <w:r>
        <w:rPr>
          <w:rFonts w:ascii="Arial" w:cs="Arial" w:eastAsia="Arial" w:hAnsi="Arial"/>
          <w:b/>
          <w:bCs/>
          <w:sz w:val="22"/>
          <w:szCs w:val="22"/>
        </w:rPr>
        <w:t xml:space="preserve">Tabela users (mutowalna): </w:t>
      </w:r>
      <w:r>
        <w:rPr>
          <w:rFonts w:ascii="Arial" w:cs="Arial" w:eastAsia="Arial" w:hAnsi="Arial"/>
          <w:sz w:val="22"/>
          <w:szCs w:val="22"/>
        </w:rPr>
        <w:t xml:space="preserve">Wzorzec Blind Index: email_encrypted (zaszyfrowany DEK/kluczem aplikacji) + email_hash (HMAC-SHA256 z tajnym pieprzem z KMS, UNIQUE constraint). Baza nie widzi emaila w plaintexcie, ale API sprawdza unikalność i logowanie przez hash. Anonimizacja RODO: DELETE email_encrypted + UPDATE email_hash = encode(gen_random_bytes(32), 'hex') (losowy HEX, poprawny format HMAC) || '@anonymized.local', name = 'Usunięto'. Dane w backupach/WAL wygasają naturalnie z retencją (30 dni). DPO publikuje to w polityce retencji.</w:t>
      </w:r>
    </w:p>
    <w:p>
      <w:pPr>
        <w:spacing w:after="120"/>
      </w:pPr>
      <w:r>
        <w:rPr>
          <w:rFonts w:ascii="Arial" w:cs="Arial" w:eastAsia="Arial" w:hAnsi="Arial"/>
          <w:b/>
          <w:bCs/>
          <w:sz w:val="22"/>
          <w:szCs w:val="22"/>
        </w:rPr>
        <w:t xml:space="preserve">Tabela audit_events (niemutowalna): </w:t>
      </w:r>
      <w:r>
        <w:rPr>
          <w:rFonts w:ascii="Arial" w:cs="Arial" w:eastAsia="Arial" w:hAnsi="Arial"/>
          <w:sz w:val="22"/>
          <w:szCs w:val="22"/>
        </w:rPr>
        <w:t xml:space="preserve">Tutaj PII szyfrowane DEK (kolumna pii_encrypted). Po usunięciu klucza z dek_registry — ślad audytowy niemożliwy do odszyfrowania, również w backupach. Rozdzielenie: mutowalny stan aplikacji (UPDATE) vs niemutowalny audyt (Crypto-shredding).</w:t>
      </w:r>
    </w:p>
    <w:p>
      <w:pPr>
        <w:spacing w:after="120"/>
      </w:pPr>
      <w:r>
        <w:rPr>
          <w:rFonts w:ascii="Arial" w:cs="Arial" w:eastAsia="Arial" w:hAnsi="Arial"/>
          <w:b/>
          <w:bCs/>
          <w:sz w:val="22"/>
          <w:szCs w:val="22"/>
        </w:rPr>
        <w:t xml:space="preserve">APPROVE_SHREDDING (decision point): </w:t>
      </w:r>
      <w:r>
        <w:rPr>
          <w:rFonts w:ascii="Arial" w:cs="Arial" w:eastAsia="Arial" w:hAnsi="Arial"/>
          <w:sz w:val="22"/>
          <w:szCs w:val="22"/>
        </w:rPr>
        <w:t xml:space="preserve">OPA ewaluuje twarde blokady przed crypto-shreddingiem: (1) podmiot ma aktywny status AML/BLOCKED_SANCTIONS? → BLOCK. (2) Podmiot był ewaluatorem w opublikowanym ratingu w ciągu 5 lat? → BLOCK (retencja archiwizacyjna). Zdejmuje odpowiedzialność z człowieka (DPO) i przenosi na system.</w:t>
      </w:r>
    </w:p>
    <w:p>
      <w:pPr>
        <w:spacing w:after="120"/>
      </w:pPr>
      <w:r>
        <w:rPr>
          <w:rFonts w:ascii="Arial" w:cs="Arial" w:eastAsia="Arial" w:hAnsi="Arial"/>
          <w:b/>
          <w:bCs/>
          <w:sz w:val="22"/>
          <w:szCs w:val="22"/>
        </w:rPr>
        <w:t xml:space="preserve">Granularność DEK: </w:t>
      </w:r>
      <w:r>
        <w:rPr>
          <w:rFonts w:ascii="Arial" w:cs="Arial" w:eastAsia="Arial" w:hAnsi="Arial"/>
          <w:sz w:val="22"/>
          <w:szCs w:val="22"/>
        </w:rPr>
        <w:t xml:space="preserve">1 DEK per podmiot/użytkownik w dek_registry (NIE globalny DEK). Usunięcie jednego klucza niszczy dane tylko tego podmiotu.</w:t>
      </w:r>
    </w:p>
    <w:p>
      <w:pPr>
        <w:spacing w:after="120"/>
      </w:pPr>
      <w:r>
        <w:rPr>
          <w:rFonts w:ascii="Arial" w:cs="Arial" w:eastAsia="Arial" w:hAnsi="Arial"/>
          <w:b/>
          <w:bCs/>
          <w:sz w:val="22"/>
          <w:szCs w:val="22"/>
        </w:rPr>
        <w:t xml:space="preserve">Rotacja CMK: </w:t>
      </w:r>
      <w:r>
        <w:rPr>
          <w:rFonts w:ascii="Arial" w:cs="Arial" w:eastAsia="Arial" w:hAnsi="Arial"/>
          <w:sz w:val="22"/>
          <w:szCs w:val="22"/>
        </w:rPr>
        <w:t xml:space="preserve">AWS KMS automatyczna rotacja CMK co 1 rok. Nowy CMK szyfruje nowe DEK; stare DEK pozostają odszyfrowywalne starym CMK (KMS przechowuje historię). Zero przestojów, zero migracji.</w:t>
      </w:r>
    </w:p>
    <w:p>
      <w:pPr>
        <w:spacing w:after="120"/>
      </w:pPr>
      <w:r>
        <w:rPr>
          <w:rFonts w:ascii="Arial" w:cs="Arial" w:eastAsia="Arial" w:hAnsi="Arial"/>
          <w:b/>
          <w:bCs/>
          <w:sz w:val="22"/>
          <w:szCs w:val="22"/>
        </w:rPr>
        <w:t xml:space="preserve">Time-Locked Delete: </w:t>
      </w:r>
      <w:r>
        <w:rPr>
          <w:rFonts w:ascii="Arial" w:cs="Arial" w:eastAsia="Arial" w:hAnsi="Arial"/>
          <w:sz w:val="22"/>
          <w:szCs w:val="22"/>
        </w:rPr>
        <w:t xml:space="preserve">7-dniowy cooling-off chroni przed omyłką/sabotażem. Po upływie: DELETE FROM dek_registry. DEK znika z Postgres = dane na S3 WORM i w audit_events.pii_encrypted stają się trwałym szumem. Zero wywołań ScheduleKeyDeletion w KMS (CMK per system pozostaje aktywny).</w:t>
      </w:r>
    </w:p>
    <w:p>
      <w:pPr>
        <w:spacing w:after="120"/>
      </w:pPr>
      <w:r>
        <w:rPr>
          <w:rFonts w:ascii="Arial" w:cs="Arial" w:eastAsia="Arial" w:hAnsi="Arial"/>
          <w:b/>
          <w:bCs/>
          <w:sz w:val="22"/>
          <w:szCs w:val="22"/>
        </w:rPr>
        <w:t xml:space="preserve">Separacja uprawnień DBA vs S3: </w:t>
      </w:r>
      <w:r>
        <w:rPr>
          <w:rFonts w:ascii="Arial" w:cs="Arial" w:eastAsia="Arial" w:hAnsi="Arial"/>
          <w:sz w:val="22"/>
          <w:szCs w:val="22"/>
        </w:rPr>
        <w:t xml:space="preserve">Uprawnienia do bazy (DBA) muszą być fizycznie odcięte od uprawnień do S3 (AWS IAM). DBA może DISABLE TRIGGER, ale nie może modyfikować eksportów na S3 WORM.</w:t>
      </w:r>
    </w:p>
    <w:p>
      <w:pPr>
        <w:spacing w:after="120"/>
      </w:pPr>
      <w:r>
        <w:rPr>
          <w:rFonts w:ascii="Arial" w:cs="Arial" w:eastAsia="Arial" w:hAnsi="Arial"/>
          <w:b/>
          <w:bCs/>
          <w:sz w:val="22"/>
          <w:szCs w:val="22"/>
        </w:rPr>
        <w:t xml:space="preserve">Vault: </w:t>
      </w:r>
      <w:r>
        <w:rPr>
          <w:rFonts w:ascii="Arial" w:cs="Arial" w:eastAsia="Arial" w:hAnsi="Arial"/>
          <w:sz w:val="22"/>
          <w:szCs w:val="22"/>
        </w:rPr>
        <w:t xml:space="preserve">dek_registry jest eksportowana razem z audit_events do Vault (S3 Object Lock). DELETE replikowany/eksportowany — klucz znika wszędzie. Time-Locked Delete gwarantuje, że klucz dotrze do eksportu przed zniszczeniem.</w:t>
      </w:r>
    </w:p>
    <w:p>
      <w:pPr>
        <w:spacing w:after="120"/>
      </w:pPr>
      <w:r>
        <w:rPr>
          <w:rFonts w:ascii="Arial" w:cs="Arial" w:eastAsia="Arial" w:hAnsi="Arial"/>
          <w:b/>
          <w:bCs/>
          <w:sz w:val="22"/>
          <w:szCs w:val="22"/>
        </w:rPr>
        <w:t xml:space="preserve">Governance Mode vs Compliance Mode: </w:t>
      </w:r>
      <w:r>
        <w:rPr>
          <w:rFonts w:ascii="Arial" w:cs="Arial" w:eastAsia="Arial" w:hAnsi="Arial"/>
          <w:sz w:val="22"/>
          <w:szCs w:val="22"/>
        </w:rPr>
        <w:t xml:space="preserve">Governance Mode pozwala DPO usunąć fizyczne pliki po zniszczeniu DEK (Compliance Mode by tego zabraniał). Spełnia wyrok sądu o usunięciu danych.</w:t>
      </w:r>
    </w:p>
    <w:p>
      <w:r>
        <w:br w:type="page"/>
      </w:r>
    </w:p>
    <w:p>
      <w:pPr>
        <w:pStyle w:val="Heading1"/>
        <w:spacing w:before="360" w:after="200"/>
      </w:pPr>
      <w:r>
        <w:rPr>
          <w:rFonts w:ascii="Arial" w:cs="Arial" w:eastAsia="Arial" w:hAnsi="Arial"/>
          <w:b/>
          <w:bCs/>
          <w:color w:val="00796B"/>
          <w:sz w:val="32"/>
          <w:szCs w:val="32"/>
        </w:rPr>
        <w:t xml:space="preserve">7. W6: Zatwierdzenie nowej wersji metodologii</w:t>
      </w:r>
    </w:p>
    <w:p>
      <w:pPr>
        <w:spacing w:after="120"/>
      </w:pPr>
      <w:r>
        <w:rPr>
          <w:rFonts w:ascii="Arial" w:cs="Arial" w:eastAsia="Arial" w:hAnsi="Arial"/>
          <w:b/>
          <w:bCs/>
          <w:sz w:val="22"/>
          <w:szCs w:val="22"/>
        </w:rPr>
        <w:t xml:space="preserve">Decision point: </w:t>
      </w:r>
      <w:r>
        <w:rPr>
          <w:rFonts w:ascii="Arial" w:cs="Arial" w:eastAsia="Arial" w:hAnsi="Arial"/>
          <w:sz w:val="22"/>
          <w:szCs w:val="22"/>
        </w:rPr>
        <w:t xml:space="preserve">APPROVE_METHODOLOGY. Serce systemu Certo — zmiana metodologii ratingu wymaga Maker-Checker i konsultacji publicznych.</w:t>
      </w:r>
    </w:p>
    <w:p>
      <w:pPr>
        <w:spacing w:after="120"/>
      </w:pPr>
      <w:r>
        <w:rPr>
          <w:rFonts w:ascii="Arial" w:cs="Arial" w:eastAsia="Arial" w:hAnsi="Arial"/>
          <w:b/>
          <w:bCs/>
          <w:sz w:val="22"/>
          <w:szCs w:val="22"/>
        </w:rPr>
        <w:t xml:space="preserve">Bramki NK: </w:t>
      </w:r>
      <w:r>
        <w:rPr>
          <w:rFonts w:ascii="Arial" w:cs="Arial" w:eastAsia="Arial" w:hAnsi="Arial"/>
          <w:sz w:val="22"/>
          <w:szCs w:val="22"/>
        </w:rPr>
        <w:t xml:space="preserve">NK-000, NK-005, NK-008, NK-009.</w:t>
      </w:r>
    </w:p>
    <w:p>
      <w:pPr>
        <w:spacing w:before="100"/>
      </w:pPr>
    </w:p>
    <w:p>
      <w:pPr>
        <w:pStyle w:val="Heading2"/>
        <w:spacing w:before="240" w:after="160"/>
      </w:pPr>
      <w:r>
        <w:rPr>
          <w:rFonts w:ascii="Arial" w:cs="Arial" w:eastAsia="Arial" w:hAnsi="Arial"/>
          <w:b/>
          <w:bCs/>
          <w:color w:val="263238"/>
          <w:sz w:val="28"/>
          <w:szCs w:val="28"/>
        </w:rPr>
        <w:t xml:space="preserve">7.1. Diagram przepływu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1200"/>
        <w:gridCol w:w="1600"/>
        <w:gridCol w:w="1626"/>
      </w:tblGrid>
      <w:tr>
        <w:tc>
          <w:tcPr>
            <w:tcW w:type="dxa" w:w="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Krok</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Aktor</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Akcja</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Bramka NK</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ALLOW →</w:t>
            </w:r>
          </w:p>
        </w:tc>
        <w:tc>
          <w:tcPr>
            <w:tcW w:type="dxa" w:w="16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BLOCK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Kolegium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Przygotowuje nową wersję metodologii (semantic version)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Otwiera 30-dniowy okres konsultacji publicznych</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3</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Interesariusze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Składają uwagi w okresie konsultacyjnym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4</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Kolegium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Rozpatruje uwagi, finalizuje wersję (Maker)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5</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SELECT get_eval_context(actor_id, methodology_id)</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JSON context</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NK-000 + Schema Validation</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7</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HTTP 503 / zły context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NK-009: 30-dniowe konsultacje zakończone?</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8</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konsultacje w toku (X dni)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NK-008: Opinia pozytywna LUB (negatywna + uzasadnienie Zarządu)?</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9</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brak opinii LUB negatywna bez uzasadnienia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NK-005: Maker (Kolegium) ≠ Checker (Zarząd)?</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10</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Maker = Checker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Członek Zarządu</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Checker: zatwierdza nową wersję metodologii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11</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11</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 waliduje payload metodologii (JSON Schema: wagi, wskaźniki, wzory). WASM waliduje kontekst decyzji (NK-SCHEMA). Podział: OPA nie parsuje 2MB JSON-a z wskaźnikami. Jeśli payload malformed → BLOCK przed S3. Upload → S3 + data_hash. Następnie: BEGIN TRANSACTION → INSERT methodology_version + INSERT audit_event → COMMIT → (S3 bucket default retention = automatyczny WORM).</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12</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12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Nowa wersja aktywna. Istniejące ratingi zachowują swoją wersję (NK-017).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Zakończony</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bl>
    <w:p>
      <w:pPr>
        <w:spacing w:before="150"/>
      </w:pPr>
    </w:p>
    <w:p>
      <w:pPr>
        <w:pStyle w:val="Heading2"/>
        <w:spacing w:before="240" w:after="160"/>
      </w:pPr>
      <w:r>
        <w:rPr>
          <w:rFonts w:ascii="Arial" w:cs="Arial" w:eastAsia="Arial" w:hAnsi="Arial"/>
          <w:b/>
          <w:bCs/>
          <w:color w:val="263238"/>
          <w:sz w:val="28"/>
          <w:szCs w:val="28"/>
        </w:rPr>
        <w:t xml:space="preserve">7.2. Notatki implementacyjne</w:t>
      </w:r>
    </w:p>
    <w:p>
      <w:pPr>
        <w:spacing w:after="120"/>
      </w:pPr>
      <w:r>
        <w:rPr>
          <w:rFonts w:ascii="Arial" w:cs="Arial" w:eastAsia="Arial" w:hAnsi="Arial"/>
          <w:b/>
          <w:bCs/>
          <w:sz w:val="22"/>
          <w:szCs w:val="22"/>
        </w:rPr>
        <w:t xml:space="preserve">NK-009 Timer: </w:t>
      </w:r>
      <w:r>
        <w:rPr>
          <w:rFonts w:ascii="Arial" w:cs="Arial" w:eastAsia="Arial" w:hAnsi="Arial"/>
          <w:sz w:val="22"/>
          <w:szCs w:val="22"/>
        </w:rPr>
        <w:t xml:space="preserve">30-dniowy timer konsultacji obliczany z chronyd. Nie można go skrócić. Kolegium może go wydłużyć.</w:t>
      </w:r>
    </w:p>
    <w:p>
      <w:pPr>
        <w:spacing w:after="120"/>
      </w:pPr>
      <w:r>
        <w:rPr>
          <w:rFonts w:ascii="Arial" w:cs="Arial" w:eastAsia="Arial" w:hAnsi="Arial"/>
          <w:b/>
          <w:bCs/>
          <w:sz w:val="22"/>
          <w:szCs w:val="22"/>
        </w:rPr>
        <w:t xml:space="preserve">NK-008 Comply-or-Explain: </w:t>
      </w:r>
      <w:r>
        <w:rPr>
          <w:rFonts w:ascii="Arial" w:cs="Arial" w:eastAsia="Arial" w:hAnsi="Arial"/>
          <w:sz w:val="22"/>
          <w:szCs w:val="22"/>
        </w:rPr>
        <w:t xml:space="preserve">Kolegium wydaje opinię obligatoryjną. Zarząd może ją odrzucić z uzasadnieniem. API dodaje do Eval Context: board_justification_provided: true + justification_length (min. 200 znaków — zapobiega wpisaniu „ok”). OPA weryfikuje flagę. Jawne w audit_event.</w:t>
      </w:r>
    </w:p>
    <w:p>
      <w:pPr>
        <w:spacing w:after="120"/>
      </w:pPr>
      <w:r>
        <w:rPr>
          <w:rFonts w:ascii="Arial" w:cs="Arial" w:eastAsia="Arial" w:hAnsi="Arial"/>
          <w:b/>
          <w:bCs/>
          <w:sz w:val="22"/>
          <w:szCs w:val="22"/>
        </w:rPr>
        <w:t xml:space="preserve">Metodologia na S3 WORM: </w:t>
      </w:r>
      <w:r>
        <w:rPr>
          <w:rFonts w:ascii="Arial" w:cs="Arial" w:eastAsia="Arial" w:hAnsi="Arial"/>
          <w:sz w:val="22"/>
          <w:szCs w:val="22"/>
        </w:rPr>
        <w:t xml:space="preserve">Pełne brzmienie metodologii (JSON: wagi, wskaźniki, wzory, progi) zrzucane na S3 WORM z data_hash. DBA nie może niejawnie zmienić treści metodologii — hash w DB musi zgadzać się z plikiem na S3.</w:t>
      </w:r>
    </w:p>
    <w:p>
      <w:pPr>
        <w:spacing w:after="120"/>
      </w:pPr>
      <w:r>
        <w:rPr>
          <w:rFonts w:ascii="Arial" w:cs="Arial" w:eastAsia="Arial" w:hAnsi="Arial"/>
          <w:b/>
          <w:bCs/>
          <w:sz w:val="22"/>
          <w:szCs w:val="22"/>
        </w:rPr>
        <w:t xml:space="preserve">Wersjonowanie: </w:t>
      </w:r>
      <w:r>
        <w:rPr>
          <w:rFonts w:ascii="Arial" w:cs="Arial" w:eastAsia="Arial" w:hAnsi="Arial"/>
          <w:sz w:val="22"/>
          <w:szCs w:val="22"/>
        </w:rPr>
        <w:t xml:space="preserve">Każda nowa wersja metodologii ma semantic version. Istniejące ratingi NIGDY nie są przeliczane automatycznie — zachowują swoją wersję (NK-017 Methodology Version Lock).</w:t>
      </w:r>
    </w:p>
    <w:p>
      <w:r>
        <w:br w:type="page"/>
      </w:r>
    </w:p>
    <w:p>
      <w:pPr>
        <w:pStyle w:val="Heading1"/>
        <w:spacing w:before="360" w:after="200"/>
      </w:pPr>
      <w:r>
        <w:rPr>
          <w:rFonts w:ascii="Arial" w:cs="Arial" w:eastAsia="Arial" w:hAnsi="Arial"/>
          <w:b/>
          <w:bCs/>
          <w:color w:val="00796B"/>
          <w:sz w:val="32"/>
          <w:szCs w:val="32"/>
        </w:rPr>
        <w:t xml:space="preserve">8. W7: Retrospektywna korekta ratingu (Rating Revision)</w:t>
      </w:r>
    </w:p>
    <w:p>
      <w:pPr>
        <w:spacing w:after="120"/>
      </w:pPr>
      <w:r>
        <w:rPr>
          <w:rFonts w:ascii="Arial" w:cs="Arial" w:eastAsia="Arial" w:hAnsi="Arial"/>
          <w:b/>
          <w:bCs/>
          <w:sz w:val="22"/>
          <w:szCs w:val="22"/>
        </w:rPr>
        <w:t xml:space="preserve">Decision point: </w:t>
      </w:r>
      <w:r>
        <w:rPr>
          <w:rFonts w:ascii="Arial" w:cs="Arial" w:eastAsia="Arial" w:hAnsi="Arial"/>
          <w:sz w:val="22"/>
          <w:szCs w:val="22"/>
        </w:rPr>
        <w:t xml:space="preserve">REVISE_RATING. System dowiaduje się o nowym dowodzie (zatajony konflikt, korekta sprawozdań, wyrok sądu). NIGDY nie modyfikujemy starego ratingu — generujemy nową decyzję kryptograficznie powiązaną z pierwotną.</w:t>
      </w:r>
    </w:p>
    <w:p>
      <w:pPr>
        <w:spacing w:after="120"/>
      </w:pPr>
      <w:r>
        <w:rPr>
          <w:rFonts w:ascii="Arial" w:cs="Arial" w:eastAsia="Arial" w:hAnsi="Arial"/>
          <w:b/>
          <w:bCs/>
          <w:sz w:val="22"/>
          <w:szCs w:val="22"/>
        </w:rPr>
        <w:t xml:space="preserve">Złota zasada WORM: </w:t>
      </w:r>
      <w:r>
        <w:rPr>
          <w:rFonts w:ascii="Arial" w:cs="Arial" w:eastAsia="Arial" w:hAnsi="Arial"/>
          <w:sz w:val="22"/>
          <w:szCs w:val="22"/>
        </w:rPr>
        <w:t xml:space="preserve">Rating opublikowany w systemie Certo nie podlega modyfikacji. Nowe informacje skutkują publikacją nowej decyzji ratingowej kryptograficznie powiązanej z decyzją pierwotną.</w:t>
      </w:r>
    </w:p>
    <w:p>
      <w:pPr>
        <w:spacing w:after="120"/>
      </w:pPr>
      <w:r>
        <w:rPr>
          <w:rFonts w:ascii="Arial" w:cs="Arial" w:eastAsia="Arial" w:hAnsi="Arial"/>
          <w:b/>
          <w:bCs/>
          <w:sz w:val="22"/>
          <w:szCs w:val="22"/>
        </w:rPr>
        <w:t xml:space="preserve">Bramki NK: </w:t>
      </w:r>
      <w:r>
        <w:rPr>
          <w:rFonts w:ascii="Arial" w:cs="Arial" w:eastAsia="Arial" w:hAnsi="Arial"/>
          <w:sz w:val="22"/>
          <w:szCs w:val="22"/>
        </w:rPr>
        <w:t xml:space="preserve">NK-000, NK-005 (Wzmocniony: Izba/Kolegium jako Checker), NK-021 (Evidence Materiality), NK-017.</w:t>
      </w:r>
    </w:p>
    <w:p>
      <w:pPr>
        <w:spacing w:after="120"/>
      </w:pPr>
      <w:r>
        <w:rPr>
          <w:rFonts w:ascii="Arial" w:cs="Arial" w:eastAsia="Arial" w:hAnsi="Arial"/>
          <w:b/>
          <w:bCs/>
          <w:sz w:val="22"/>
          <w:szCs w:val="22"/>
        </w:rPr>
        <w:t xml:space="preserve">Typy korekt: </w:t>
      </w:r>
      <w:r>
        <w:rPr>
          <w:rFonts w:ascii="Arial" w:cs="Arial" w:eastAsia="Arial" w:hAnsi="Arial"/>
          <w:sz w:val="22"/>
          <w:szCs w:val="22"/>
        </w:rPr>
        <w:t xml:space="preserve">REVISION_NEW_EVIDENCE, REVISION_DATA_ERROR, REVISION_METHOD_ERROR, REVISION_FRAUD_DISCOVERY, REVISION_REGULATORY_ORDER.</w:t>
      </w:r>
    </w:p>
    <w:p>
      <w:pPr>
        <w:spacing w:before="100"/>
      </w:pPr>
    </w:p>
    <w:p>
      <w:pPr>
        <w:pStyle w:val="Heading2"/>
        <w:spacing w:before="240" w:after="160"/>
      </w:pPr>
      <w:r>
        <w:rPr>
          <w:rFonts w:ascii="Arial" w:cs="Arial" w:eastAsia="Arial" w:hAnsi="Arial"/>
          <w:b/>
          <w:bCs/>
          <w:color w:val="263238"/>
          <w:sz w:val="28"/>
          <w:szCs w:val="28"/>
        </w:rPr>
        <w:t xml:space="preserve">8.1. Diagram przepływu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2800"/>
        <w:gridCol w:w="1200"/>
        <w:gridCol w:w="1600"/>
        <w:gridCol w:w="1626"/>
      </w:tblGrid>
      <w:tr>
        <w:tc>
          <w:tcPr>
            <w:tcW w:type="dxa" w:w="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Krok</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Aktor</w:t>
            </w:r>
          </w:p>
        </w:tc>
        <w:tc>
          <w:tcPr>
            <w:tcW w:type="dxa" w:w="2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Akcja</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Bramka NK</w:t>
            </w:r>
          </w:p>
        </w:tc>
        <w:tc>
          <w:tcPr>
            <w:tcW w:type="dxa" w:w="16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ALLOW →</w:t>
            </w:r>
          </w:p>
        </w:tc>
        <w:tc>
          <w:tcPr>
            <w:tcW w:type="dxa" w:w="16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BLOCK →</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Ewaluator / Kolegium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Wprowadza nowy dowód (Evidence) dot. opublikowanego ratingu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2</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NK-021 (Evidence Materiality): Czy dowód zmienia wynik powyżej progu tolerancji lub dotyczy Twardego Naruszenia?</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3</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dowód niematerialny → ADDENDUM (aneks bez korekty)</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3</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Buduje Eval Context z supersedes_rating_id + supersedes_rbom_hash starego ratingu</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4</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NK-000 + Schema + NK-017 (Methodology Lock: korekta używa tej samej lub nowszej metodologii)</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NK-017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5</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niezgodność metodologii</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OPA WASM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NK-005 Wzmocniony: Checker = Izba Nadzoru lub Kolegium (nie zwykły ewaluator)</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Courier New" w:cs="Courier New" w:eastAsia="Courier New" w:hAnsi="Courier New"/>
                <w:b/>
                <w:bCs/>
                <w:sz w:val="18"/>
                <w:szCs w:val="18"/>
              </w:rPr>
              <w:t xml:space="preserve">NK-005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Krok 6</w:t>
            </w:r>
          </w:p>
        </w:tc>
        <w:tc>
          <w:tcPr>
            <w:tcW w:type="dxa" w:w="1626"/>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BLOCK: brak uprawnień nadzorczych</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6</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Oblicz nowy R-BOM z supersedes_hashes[] + evidence_hash + revision_type</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7</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7</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API</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BEGIN TRANSACTION: UPDATE old rating (SUPERSEDED) + INSERT new rating (PUBLISHED_CORRECTION, supersedes_id) + INSERT audit_event (CORRECTION) + INSERT outbox_events → COMMIT</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8</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20"/>
                <w:szCs w:val="20"/>
              </w:rPr>
              <w:t xml:space="preserve">8</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Evidence Worker</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Upload nowego R-BOM na S3 WORM (z pełnym łańcuchem kryptograficznym do starego R-BOM)</w:t>
            </w:r>
          </w:p>
        </w:tc>
        <w:tc>
          <w:tcPr>
            <w:tcW w:type="dxa" w:w="1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Krok 9</w:t>
            </w:r>
          </w:p>
        </w:tc>
        <w:tc>
          <w:tcPr>
            <w:tcW w:type="dxa" w:w="1626"/>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sz w:val="20"/>
                <w:szCs w:val="20"/>
              </w:rPr>
              <w:t xml:space="preserve">—</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20"/>
                <w:szCs w:val="20"/>
              </w:rPr>
              <w:t xml:space="preserve">9</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System</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Transparency Log: rating_revision_event. Powiadomienie do podmiotu i rynku: Rating Superseded.</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sz w:val="18"/>
                <w:szCs w:val="18"/>
              </w:rPr>
              <w:t xml:space="preserv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Zakończony</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bl>
    <w:p>
      <w:pPr>
        <w:spacing w:before="150"/>
      </w:pPr>
    </w:p>
    <w:p>
      <w:pPr>
        <w:pStyle w:val="Heading2"/>
        <w:spacing w:before="240" w:after="160"/>
      </w:pPr>
      <w:r>
        <w:rPr>
          <w:rFonts w:ascii="Arial" w:cs="Arial" w:eastAsia="Arial" w:hAnsi="Arial"/>
          <w:b/>
          <w:bCs/>
          <w:color w:val="263238"/>
          <w:sz w:val="28"/>
          <w:szCs w:val="28"/>
        </w:rPr>
        <w:t xml:space="preserve">8.2. Notatki implementacyjne</w:t>
      </w:r>
    </w:p>
    <w:p>
      <w:pPr>
        <w:spacing w:after="120"/>
      </w:pPr>
      <w:r>
        <w:rPr>
          <w:rFonts w:ascii="Arial" w:cs="Arial" w:eastAsia="Arial" w:hAnsi="Arial"/>
          <w:b/>
          <w:bCs/>
          <w:sz w:val="22"/>
          <w:szCs w:val="22"/>
        </w:rPr>
        <w:t xml:space="preserve">Immutability: </w:t>
      </w:r>
      <w:r>
        <w:rPr>
          <w:rFonts w:ascii="Arial" w:cs="Arial" w:eastAsia="Arial" w:hAnsi="Arial"/>
          <w:sz w:val="22"/>
          <w:szCs w:val="22"/>
        </w:rPr>
        <w:t xml:space="preserve">Stary rating NIGDY nie jest kasowany z S3 WORM ani z audit_events. Status zmienia się na SUPERSEDED. Nowy rating zawiera supersedes_rating_id + supersedes_rbom_hash. Łańcuch korekt jest kryptograficznie weryfikowalny.</w:t>
      </w:r>
    </w:p>
    <w:p>
      <w:pPr>
        <w:spacing w:after="120"/>
      </w:pPr>
      <w:r>
        <w:rPr>
          <w:rFonts w:ascii="Arial" w:cs="Arial" w:eastAsia="Arial" w:hAnsi="Arial"/>
          <w:b/>
          <w:bCs/>
          <w:sz w:val="22"/>
          <w:szCs w:val="22"/>
        </w:rPr>
        <w:t xml:space="preserve">NK-021 Evidence Materiality: </w:t>
      </w:r>
      <w:r>
        <w:rPr>
          <w:rFonts w:ascii="Arial" w:cs="Arial" w:eastAsia="Arial" w:hAnsi="Arial"/>
          <w:sz w:val="22"/>
          <w:szCs w:val="22"/>
        </w:rPr>
        <w:t xml:space="preserve">Chroni przed migotaniem ratingów (ciągłymi drobnymi korektami). Zmiana poniżej progu = ADDENDUM (aneks informacyjny), nie pełna korekta. Próg definiowany w metodologii.</w:t>
      </w:r>
    </w:p>
    <w:p>
      <w:pPr>
        <w:spacing w:after="120"/>
      </w:pPr>
      <w:r>
        <w:rPr>
          <w:rFonts w:ascii="Arial" w:cs="Arial" w:eastAsia="Arial" w:hAnsi="Arial"/>
          <w:b/>
          <w:bCs/>
          <w:sz w:val="22"/>
          <w:szCs w:val="22"/>
        </w:rPr>
        <w:t xml:space="preserve">Historia publiczna: </w:t>
      </w:r>
      <w:r>
        <w:rPr>
          <w:rFonts w:ascii="Arial" w:cs="Arial" w:eastAsia="Arial" w:hAnsi="Arial"/>
          <w:sz w:val="22"/>
          <w:szCs w:val="22"/>
        </w:rPr>
        <w:t xml:space="preserve">Transparency Log pokazuje pełny łańcuch: 2024-06-12 Rating A → 2025-11-02 Rating A- (revision: new evidence) → 2026-03-15 Rating BBB+ (revision: fraud discovery). Stare ratingi pozostają w Merkle i WORM.</w:t>
      </w:r>
    </w:p>
    <w:p>
      <w:pPr>
        <w:spacing w:after="120"/>
      </w:pPr>
      <w:r>
        <w:rPr>
          <w:rFonts w:ascii="Arial" w:cs="Arial" w:eastAsia="Arial" w:hAnsi="Arial"/>
          <w:b/>
          <w:bCs/>
          <w:sz w:val="22"/>
          <w:szCs w:val="22"/>
        </w:rPr>
        <w:t xml:space="preserve">Rating Time-Travel (deterministyczny replay): </w:t>
      </w:r>
      <w:r>
        <w:rPr>
          <w:rFonts w:ascii="Arial" w:cs="Arial" w:eastAsia="Arial" w:hAnsi="Arial"/>
          <w:sz w:val="22"/>
          <w:szCs w:val="22"/>
        </w:rPr>
        <w:t xml:space="preserve">Każdy R-BOM to pełna kapsuła decyzji: data_snapshot_hash + methodology_hash + policy_hash + runtime_hash + opa_bundle_hash + timestamp_token + merkle_proof + normative_path. CLI tool: certo verify rating_bundle.zip ładuje snapshot, metod., polityki, uruchamia OPA decision replay. Wynik = VERIFIED jeśli obliczony rating = rating historyczny. Audytor nie musi ufać Certo — może odtworzyć decyzję sprzed 5 lat z samych artefaktów.</w:t>
      </w:r>
    </w:p>
    <w:p>
      <w:r>
        <w:br w:type="page"/>
      </w:r>
    </w:p>
    <w:p>
      <w:pPr>
        <w:pStyle w:val="Heading1"/>
        <w:spacing w:before="360" w:after="200"/>
      </w:pPr>
      <w:r>
        <w:rPr>
          <w:rFonts w:ascii="Arial" w:cs="Arial" w:eastAsia="Arial" w:hAnsi="Arial"/>
          <w:b/>
          <w:bCs/>
          <w:color w:val="00796B"/>
          <w:sz w:val="32"/>
          <w:szCs w:val="32"/>
        </w:rPr>
        <w:t xml:space="preserve">9. Matryca: Workflow × Bramki NK</w:t>
      </w:r>
    </w:p>
    <w:p>
      <w:pPr>
        <w:spacing w:after="120"/>
      </w:pPr>
      <w:r>
        <w:rPr>
          <w:rFonts w:ascii="Arial" w:cs="Arial" w:eastAsia="Arial" w:hAnsi="Arial"/>
          <w:sz w:val="22"/>
          <w:szCs w:val="22"/>
        </w:rPr>
        <w:t xml:space="preserve">Zestawienie wszystkich workflowów z bramkami normowymi. NK-015 (Audit Trail append-only) działa na poziomie DB triggerów (RAISE EXCEPTION) i nie pojawia się w żadnym workflow — jest zawsze aktywny.</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200"/>
        <w:gridCol w:w="1200"/>
        <w:gridCol w:w="1000"/>
        <w:gridCol w:w="800"/>
        <w:gridCol w:w="1626"/>
      </w:tblGrid>
      <w:tr>
        <w:tc>
          <w:tcPr>
            <w:tcW w:type="dxa" w:w="8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NK</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W1 Pub</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W2 Asgn</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W3 Don</w:t>
            </w:r>
          </w:p>
        </w:tc>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W4 BG</w:t>
            </w:r>
          </w:p>
        </w:tc>
        <w:tc>
          <w:tcPr>
            <w:tcW w:type="dxa" w:w="1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W5 RODO</w:t>
            </w:r>
          </w:p>
        </w:tc>
        <w:tc>
          <w:tcPr>
            <w:tcW w:type="dxa" w:w="9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W6 Meth.</w:t>
            </w:r>
          </w:p>
        </w:tc>
        <w:tc>
          <w:tcPr>
            <w:tcW w:type="dxa" w:w="8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W7 Rev.</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NK-000</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NK-005</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NK-009</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NK-011</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NK-012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NK-022</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NK-017</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NK-018</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NK-021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NK-BG-001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NK-SCHEMA</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c>
          <w:tcPr>
            <w:tcW w:type="dxa" w:w="16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w:t>
            </w:r>
          </w:p>
        </w:tc>
      </w:tr>
    </w:tbl>
    <w:p>
      <w:pPr>
        <w:spacing w:before="200"/>
      </w:pPr>
    </w:p>
    <w:p>
      <w:pPr>
        <w:pStyle w:val="Heading2"/>
        <w:spacing w:before="240" w:after="160"/>
      </w:pPr>
      <w:r>
        <w:rPr>
          <w:rFonts w:ascii="Arial" w:cs="Arial" w:eastAsia="Arial" w:hAnsi="Arial"/>
          <w:b/>
          <w:bCs/>
          <w:color w:val="263238"/>
          <w:sz w:val="28"/>
          <w:szCs w:val="28"/>
        </w:rPr>
        <w:t xml:space="preserve">9.1. Warstwy implementacji per bramka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900"/>
        <w:gridCol w:w="1926"/>
      </w:tblGrid>
      <w:tr>
        <w:tc>
          <w:tcPr>
            <w:tcW w:type="dxa" w:w="12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NK</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OPA WASM</w:t>
            </w:r>
          </w:p>
        </w:tc>
        <w:tc>
          <w:tcPr>
            <w:tcW w:type="dxa" w:w="20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Postgres</w:t>
            </w:r>
          </w:p>
        </w:tc>
        <w:tc>
          <w:tcPr>
            <w:tcW w:type="dxa" w:w="1900"/>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Nightly</w:t>
            </w:r>
          </w:p>
        </w:tc>
        <w:tc>
          <w:tcPr>
            <w:tcW w:type="dxa" w:w="1926"/>
            <w:tcBorders>
              <w:top w:val="single" w:color="CCCCCC" w:sz="1"/>
              <w:left w:val="single" w:color="CCCCCC" w:sz="1"/>
              <w:bottom w:val="single" w:color="CCCCCC" w:sz="1"/>
              <w:right w:val="single" w:color="CCCCCC" w:sz="1"/>
            </w:tcBorders>
            <w:shd w:fill="E0F2F1" w:val="clear"/>
            <w:tcMar>
              <w:top w:type="dxa" w:w="80"/>
              <w:left w:type="dxa" w:w="120"/>
              <w:bottom w:type="dxa" w:w="80"/>
              <w:right w:type="dxa" w:w="120"/>
            </w:tcMar>
          </w:tcPr>
          <w:p>
            <w:r>
              <w:rPr>
                <w:rFonts w:ascii="Arial" w:cs="Arial" w:eastAsia="Arial" w:hAnsi="Arial"/>
                <w:b/>
                <w:bCs/>
                <w:color w:val="263238"/>
                <w:sz w:val="20"/>
                <w:szCs w:val="20"/>
              </w:rPr>
              <w:t xml:space="preserve">API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default deny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timeout handling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rbac.rego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users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conflict.rego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CRBR scan</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maker_checker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ratings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deadlock prev.</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audit.rego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ratings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chronyd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conflict.rego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donations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KYC + CRBR</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sanctions sync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conflict.rego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entities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(DB level)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audit_events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Merkle batch</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NK-017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audit.rego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ratings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sz w:val="18"/>
                <w:szCs w:val="18"/>
              </w:rPr>
              <w:t xml:space="preserve">NK-SCHEMA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json.match_schema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context builder</w:t>
            </w:r>
          </w:p>
        </w:tc>
      </w:tr>
    </w:tbl>
    <w:p>
      <w:r>
        <w:br w:type="page"/>
      </w:r>
    </w:p>
    <w:p>
      <w:pPr>
        <w:pStyle w:val="Heading1"/>
        <w:spacing w:before="360" w:after="200"/>
      </w:pPr>
      <w:r>
        <w:rPr>
          <w:rFonts w:ascii="Arial" w:cs="Arial" w:eastAsia="Arial" w:hAnsi="Arial"/>
          <w:b/>
          <w:bCs/>
          <w:color w:val="00796B"/>
          <w:sz w:val="32"/>
          <w:szCs w:val="32"/>
        </w:rPr>
        <w:t xml:space="preserve">10. Następne kroki</w:t>
      </w:r>
    </w:p>
    <w:p>
      <w:pPr>
        <w:spacing w:after="120"/>
      </w:pPr>
      <w:r>
        <w:rPr>
          <w:rFonts w:ascii="Arial" w:cs="Arial" w:eastAsia="Arial" w:hAnsi="Arial"/>
          <w:b/>
          <w:bCs/>
          <w:sz w:val="22"/>
          <w:szCs w:val="22"/>
        </w:rPr>
        <w:t xml:space="preserve">Zasada operacyjna: </w:t>
      </w:r>
      <w:r>
        <w:rPr>
          <w:rFonts w:ascii="Arial" w:cs="Arial" w:eastAsia="Arial" w:hAnsi="Arial"/>
          <w:sz w:val="22"/>
          <w:szCs w:val="22"/>
        </w:rPr>
        <w:t xml:space="preserve">Wszystkie zadania async w jednej tabeli task_queue (task_type, payload, status, attempts). Trzy niezależne workery (Separation of Duties w architekturze): (1) Operational Worker: CRBR_CHECK, KYC_SCAN, CONFLICT_SCAN, RECONCILE_PUBLISH (logika biznesowa). (2) Evidence Worker: MERKLE_BATCH, MERKLE_ANCHOR, EIDAS_SIGN, S3_UPLOAD (dowody kryptograficzne). (3) Integrity Sentinel: verify_merkle + verify_policy_hash + verify_s3_objects + verify_timestamp_chain (tylko kontrola, nie wykonuje zadań). Rozdzielenie: worker biznesowy nie ma wpływu na dowody, worker dowodowy nie ma wpływu na logikę, sentinel kontroluje oba. Wszystkie oparte na Graphile Worker (exponential backoff, DLQ, idempotentność). Podwójne uruchomienie nie psuje systemu. Wymagane dla serverless cron (EventBridge, GitHub Actions).</w:t>
      </w:r>
    </w:p>
    <w:p>
      <w:pPr>
        <w:spacing w:after="120"/>
      </w:pPr>
      <w:r>
        <w:rPr>
          <w:rFonts w:ascii="Arial" w:cs="Arial" w:eastAsia="Arial" w:hAnsi="Arial"/>
          <w:b/>
          <w:bCs/>
          <w:sz w:val="22"/>
          <w:szCs w:val="22"/>
        </w:rPr>
        <w:t xml:space="preserve">System Integrity Check (daily): </w:t>
      </w:r>
      <w:r>
        <w:rPr>
          <w:rFonts w:ascii="Arial" w:cs="Arial" w:eastAsia="Arial" w:hAnsi="Arial"/>
          <w:sz w:val="22"/>
          <w:szCs w:val="22"/>
        </w:rPr>
        <w:t xml:space="preserve">Integrity Sentinel (oddzielny od workerów operacyjnych i dowodowych): verify_merkle_integrity + verify_s3_objects + verify_policy_hash + verify_timestamp_chain. Wynik: audit_event SYSTEM_INTEGRITY_OK lub SYSTEM_INTEGRITY_FAIL (alert). Publiczny daily_system_integrity_log (np. w repozytorium Git): ciągły, publiczny dowód zdrowia systemu. Buduje zaufanie rynkowe.</w:t>
      </w:r>
    </w:p>
    <w:p>
      <w:pPr>
        <w:spacing w:after="120"/>
      </w:pPr>
      <w:r>
        <w:rPr>
          <w:rFonts w:ascii="Arial" w:cs="Arial" w:eastAsia="Arial" w:hAnsi="Arial"/>
          <w:b/>
          <w:bCs/>
          <w:sz w:val="22"/>
          <w:szCs w:val="22"/>
        </w:rPr>
        <w:t xml:space="preserve">External Trust Anchor: </w:t>
      </w:r>
      <w:r>
        <w:rPr>
          <w:rFonts w:ascii="Arial" w:cs="Arial" w:eastAsia="Arial" w:hAnsi="Arial"/>
          <w:sz w:val="22"/>
          <w:szCs w:val="22"/>
        </w:rPr>
        <w:t xml:space="preserve">Daily Merkle root → RFC3161 TSA (lub eIDAS Qualified TSA). Zakotwiczenie audytu poza systemem Certo. ~200 linii kodu, zero nowych komponentów (governance_worker już istnieje).</w:t>
      </w:r>
    </w:p>
    <w:p>
      <w:pPr>
        <w:spacing w:after="120"/>
      </w:pPr>
      <w:r>
        <w:rPr>
          <w:rFonts w:ascii="Arial" w:cs="Arial" w:eastAsia="Arial" w:hAnsi="Arial"/>
          <w:b/>
          <w:bCs/>
          <w:sz w:val="22"/>
          <w:szCs w:val="22"/>
        </w:rPr>
        <w:t xml:space="preserve">Normative Graph (Faza 2): </w:t>
      </w:r>
      <w:r>
        <w:rPr>
          <w:rFonts w:ascii="Arial" w:cs="Arial" w:eastAsia="Arial" w:hAnsi="Arial"/>
          <w:sz w:val="22"/>
          <w:szCs w:val="22"/>
        </w:rPr>
        <w:t xml:space="preserve">Zamiast statycznych workflowów (W1–W6), system przechowuje graf zależności norm (normative_nodes + normative_edges). Zdarzenie (np. rating_publish_requested) → silnik oblicza wymagane normy z grafu → OPA ewaluuje. Dodanie nowej normy (np. NK-021 ESG Disclosure) = dodanie węzła do grafu, nie przepisywanie workflow. R-BOM zawiera normative_path[]: lista norm wykonanych przy decyzji. System staje się norm-driven (normy sterują systemem), nie workflow-driven.</w:t>
      </w:r>
    </w:p>
    <w:p>
      <w:pPr>
        <w:spacing w:after="120"/>
      </w:pPr>
      <w:r>
        <w:rPr>
          <w:rFonts w:ascii="Arial" w:cs="Arial" w:eastAsia="Arial" w:hAnsi="Arial"/>
          <w:b/>
          <w:bCs/>
          <w:sz w:val="22"/>
          <w:szCs w:val="22"/>
        </w:rPr>
        <w:t xml:space="preserve">Evidence Package (publiczna weryfikacja): </w:t>
      </w:r>
      <w:r>
        <w:rPr>
          <w:rFonts w:ascii="Arial" w:cs="Arial" w:eastAsia="Arial" w:hAnsi="Arial"/>
          <w:sz w:val="22"/>
          <w:szCs w:val="22"/>
        </w:rPr>
        <w:t xml:space="preserve">System generuje rating_evidence_bundle: rbom.json + methodology_hash + policy_hash + timestamp_token + merkle_proof + normative_path[] + supply_chain_verification (container_hash + opa_bundle_hash podpisane sigstore/cosign — zapobiega manipulacji pipeline). Globalny identyfikator: CERTO-RATING-{ROK}-{KRAJ}-{NUMER}-{CHECKSUM}. Deterministic Verification: CLI tool certo verify rating_bundle.zip — replikuje decyzję z danych w pakiecie (verify_merkle + verify_timestamp + verify_policy + recompute_decision). Audytor nie musi ufać Certo — może sam odtworzyć wynik.</w:t>
      </w:r>
    </w:p>
    <w:p>
      <w:pPr>
        <w:spacing w:after="120"/>
      </w:pPr>
      <w:r>
        <w:rPr>
          <w:rFonts w:ascii="Arial" w:cs="Arial" w:eastAsia="Arial" w:hAnsi="Arial"/>
          <w:b/>
          <w:bCs/>
          <w:sz w:val="22"/>
          <w:szCs w:val="22"/>
        </w:rPr>
        <w:t xml:space="preserve">Public Transparency Log: </w:t>
      </w:r>
      <w:r>
        <w:rPr>
          <w:rFonts w:ascii="Arial" w:cs="Arial" w:eastAsia="Arial" w:hAnsi="Arial"/>
          <w:sz w:val="22"/>
          <w:szCs w:val="22"/>
        </w:rPr>
        <w:t xml:space="preserve">Codziennie publikowany daily_rating_log.json (lista rbom_hash opublikowanych ratingów) w publicznym repozytorium / IPFS / dedykowanym endpoincie. Każdy może sprawdzić czy rating istniał w danym dniu bez dostępu do systemu. Uniemożliwia ciche usunięcie ratingu. Standard: Certificate Transparency.</w:t>
      </w:r>
    </w:p>
    <w:p>
      <w:pPr>
        <w:spacing w:after="120"/>
      </w:pPr>
      <w:r>
        <w:rPr>
          <w:rFonts w:ascii="Arial" w:cs="Arial" w:eastAsia="Arial" w:hAnsi="Arial"/>
          <w:b/>
          <w:bCs/>
          <w:sz w:val="22"/>
          <w:szCs w:val="22"/>
        </w:rPr>
        <w:t xml:space="preserve">Sprint 0: </w:t>
      </w:r>
      <w:r>
        <w:rPr>
          <w:rFonts w:ascii="Arial" w:cs="Arial" w:eastAsia="Arial" w:hAnsi="Arial"/>
          <w:sz w:val="22"/>
          <w:szCs w:val="22"/>
        </w:rPr>
        <w:t xml:space="preserve">Implementacja 7 workflowów z 14 regułami core (w tym NK-021 Evidence Materiality, NK-022 Funding Independence) (w tym NK-008, NK-009 dla metodologii). DDL bazy (RLS + triggers), OPA WASM bundle, JWT auth, audit_events z nightly Merkle, S3 WORM export.</w:t>
      </w:r>
    </w:p>
    <w:p>
      <w:pPr>
        <w:spacing w:after="120"/>
      </w:pPr>
      <w:r>
        <w:rPr>
          <w:rFonts w:ascii="Arial" w:cs="Arial" w:eastAsia="Arial" w:hAnsi="Arial"/>
          <w:b/>
          <w:bCs/>
          <w:sz w:val="22"/>
          <w:szCs w:val="22"/>
        </w:rPr>
        <w:t xml:space="preserve">Sprint 1 (rozszerzenie compliance): </w:t>
      </w:r>
      <w:r>
        <w:rPr>
          <w:rFonts w:ascii="Arial" w:cs="Arial" w:eastAsia="Arial" w:hAnsi="Arial"/>
          <w:sz w:val="22"/>
          <w:szCs w:val="22"/>
        </w:rPr>
        <w:t xml:space="preserve">Purpose-Based Access Control (PBAC): OPA autoryzuje odczyty nie tylko przez rolę, ale i cel przetwarzania (processing_purpose). Wycofanie zgody = automatyczna blokada dostępu do danych dla tego celu. Automated DSAR (RODO art. 15): workflow eksportu danych podmiotu (ZIP + eIDAS + link 48h). Consent Expiry Engine: consent_expires_at w dek_registry → automatyczny PENDING_SHREDDING po wygaśnięciu.</w:t>
      </w:r>
    </w:p>
    <w:p>
      <w:pPr>
        <w:spacing w:after="120"/>
      </w:pPr>
      <w:r>
        <w:rPr>
          <w:rFonts w:ascii="Arial" w:cs="Arial" w:eastAsia="Arial" w:hAnsi="Arial"/>
          <w:b/>
          <w:bCs/>
          <w:sz w:val="22"/>
          <w:szCs w:val="22"/>
        </w:rPr>
        <w:t xml:space="preserve">Sprint 2 (Operational Excellence): </w:t>
      </w:r>
      <w:r>
        <w:rPr>
          <w:rFonts w:ascii="Arial" w:cs="Arial" w:eastAsia="Arial" w:hAnsi="Arial"/>
          <w:sz w:val="22"/>
          <w:szCs w:val="22"/>
        </w:rPr>
        <w:t xml:space="preserve">CDC (Debezium/wal2json) zamiast pollingu — system w 100%% Event-Driven, opóźnienie ms zamiast minut. Automated Chaos Engineering: bot co tydzień wykonuje Synthetic Transaction (Break-Glass test) na produkcji. IaC Auto-Remediation: drift S3 WORM/KMS → Lambda przywraca konfigurację w sekundy.</w:t>
      </w:r>
    </w:p>
    <w:p>
      <w:pPr>
        <w:spacing w:after="120"/>
      </w:pPr>
      <w:r>
        <w:rPr>
          <w:rFonts w:ascii="Arial" w:cs="Arial" w:eastAsia="Arial" w:hAnsi="Arial"/>
          <w:b/>
          <w:bCs/>
          <w:sz w:val="22"/>
          <w:szCs w:val="22"/>
        </w:rPr>
        <w:t xml:space="preserve">Sprint 2 (Advanced AML): </w:t>
      </w:r>
      <w:r>
        <w:rPr>
          <w:rFonts w:ascii="Arial" w:cs="Arial" w:eastAsia="Arial" w:hAnsi="Arial"/>
          <w:sz w:val="22"/>
          <w:szCs w:val="22"/>
        </w:rPr>
        <w:t xml:space="preserve">Automated UBO Unrolling: rekurencyjne rozwijanie drzewa beneficjentów rzeczywistych do 3 poziomu (LexisNexis / OpenCorporates). AI Smart Triage: Delegat AI wstępnie ocenia trafienia z list sankcyjnych (confidence score &lt; 20%% → rekomendacja OVERRIDE).</w:t>
      </w:r>
    </w:p>
    <w:p>
      <w:pPr>
        <w:spacing w:after="120"/>
      </w:pPr>
      <w:r>
        <w:rPr>
          <w:rFonts w:ascii="Arial" w:cs="Arial" w:eastAsia="Arial" w:hAnsi="Arial"/>
          <w:b/>
          <w:bCs/>
          <w:sz w:val="22"/>
          <w:szCs w:val="22"/>
        </w:rPr>
        <w:t xml:space="preserve">Sprint 2 (Future-Proof Security): </w:t>
      </w:r>
      <w:r>
        <w:rPr>
          <w:rFonts w:ascii="Arial" w:cs="Arial" w:eastAsia="Arial" w:hAnsi="Arial"/>
          <w:sz w:val="22"/>
          <w:szCs w:val="22"/>
        </w:rPr>
        <w:t xml:space="preserve">Post-Quantum Cryptography (PQC): szyfrowanie DEK i R-BOM algorytmami hybrydowymi (AES-256 + Kyber/ML-KEM). Event Correction Pattern (RODO art. 16): zdarzenia kompensujące + selektywne zniszczenie Micro-DEK błędnego zapisu. Zero-Knowledge Proofs (ZKP) w R-BOM: dowód kompetencji ewaluatora bez ujawniania tożsamości.</w:t>
      </w:r>
    </w:p>
    <w:p>
      <w:pPr>
        <w:spacing w:after="120"/>
      </w:pPr>
      <w:r>
        <w:rPr>
          <w:rFonts w:ascii="Arial" w:cs="Arial" w:eastAsia="Arial" w:hAnsi="Arial"/>
          <w:b/>
          <w:bCs/>
          <w:sz w:val="22"/>
          <w:szCs w:val="22"/>
        </w:rPr>
        <w:t xml:space="preserve">Sprint 1 (operacje): </w:t>
      </w:r>
      <w:r>
        <w:rPr>
          <w:rFonts w:ascii="Arial" w:cs="Arial" w:eastAsia="Arial" w:hAnsi="Arial"/>
          <w:sz w:val="22"/>
          <w:szCs w:val="22"/>
        </w:rPr>
        <w:t xml:space="preserve">Auto-Remediation: task_queue failure 3x → fallback strategy (alternatywny dostawca API / zamrożenie + retry 4h). DevOps alert dopiero po 24h. Database Branching: CI/CD klonuje produkcyjną bazę (Copy-on-Write) przy każdej zmianie polityki → test suite na klonie → zero ryzyka dla produkcji.</w:t>
      </w:r>
    </w:p>
    <w:p>
      <w:pPr>
        <w:spacing w:after="120"/>
      </w:pPr>
      <w:r>
        <w:rPr>
          <w:rFonts w:ascii="Arial" w:cs="Arial" w:eastAsia="Arial" w:hAnsi="Arial"/>
          <w:b/>
          <w:bCs/>
          <w:sz w:val="22"/>
          <w:szCs w:val="22"/>
        </w:rPr>
        <w:t xml:space="preserve">Sprint 1 (NK): </w:t>
      </w:r>
      <w:r>
        <w:rPr>
          <w:rFonts w:ascii="Arial" w:cs="Arial" w:eastAsia="Arial" w:hAnsi="Arial"/>
          <w:sz w:val="22"/>
          <w:szCs w:val="22"/>
        </w:rPr>
        <w:t xml:space="preserve">Pozostałe 9 Hard Gates' (NK-004, 006, 008, 009, 010, 013, 014, 016). Soft Gates (22 reguły). Certo Offline Tool. Emergency Evaluation Bundle.</w:t>
      </w:r>
    </w:p>
    <w:p>
      <w:pPr>
        <w:spacing w:after="120"/>
      </w:pPr>
      <w:r>
        <w:rPr>
          <w:rFonts w:ascii="Arial" w:cs="Arial" w:eastAsia="Arial" w:hAnsi="Arial"/>
          <w:b/>
          <w:bCs/>
          <w:sz w:val="22"/>
          <w:szCs w:val="22"/>
        </w:rPr>
        <w:t xml:space="preserve">Zatwierdzenie: </w:t>
      </w:r>
      <w:r>
        <w:rPr>
          <w:rFonts w:ascii="Arial" w:cs="Arial" w:eastAsia="Arial" w:hAnsi="Arial"/>
          <w:sz w:val="22"/>
          <w:szCs w:val="22"/>
        </w:rPr>
        <w:t xml:space="preserve">Deliverables A + B + C zatwierdzane łącznie uchwałą Zarządu Fundacji Certo + opinia Izby Nadzoru.</w:t>
      </w:r>
    </w:p>
    <w:p>
      <w:pPr>
        <w:spacing w:before="200"/>
      </w:pPr>
    </w:p>
    <w:p>
      <w:pPr>
        <w:spacing w:after="120"/>
      </w:pPr>
      <w:r>
        <w:rPr>
          <w:rFonts w:ascii="Arial" w:cs="Arial" w:eastAsia="Arial" w:hAnsi="Arial"/>
          <w:i/>
          <w:iCs/>
          <w:color w:val="999999"/>
          <w:sz w:val="20"/>
          <w:szCs w:val="20"/>
        </w:rPr>
        <w:t xml:space="preserve">Koniec dokumentu.</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8"/>
        <w:szCs w:val="18"/>
      </w:rPr>
      <w:fldChar w:fldCharType="begin"/>
      <w:instrText xml:space="preserve">PAGE</w:instrText>
      <w:fldChar w:fldCharType="separate"/>
      <w:fldChar w:fldCharType="end"/>
    </w:r>
    <w:r>
      <w:rPr>
        <w:rFonts w:ascii="Arial" w:cs="Arial" w:eastAsia="Arial" w:hAnsi="Arial"/>
        <w:color w:val="757575"/>
        <w:sz w:val="18"/>
        <w:szCs w:val="18"/>
      </w:rPr>
      <w:t xml:space="preserve"> / </w:t>
    </w:r>
    <w:r>
      <w:rPr>
        <w:rFonts w:ascii="Arial" w:cs="Arial" w:eastAsia="Arial" w:hAnsi="Arial"/>
        <w:color w:val="7575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pPr>
    <w:r>
      <w:rPr>
        <w:rFonts w:ascii="Arial" w:cs="Arial" w:eastAsia="Arial" w:hAnsi="Arial"/>
        <w:b/>
        <w:bCs/>
        <w:sz w:val="22"/>
        <w:szCs w:val="22"/>
      </w:rPr>
      <w:t xml:space="preserve">Certo Governance Institute</w:t>
    </w:r>
    <w:r>
      <w:rPr>
        <w:rFonts w:ascii="Arial" w:cs="Arial" w:eastAsia="Arial" w:hAnsi="Arial"/>
        <w:sz w:val="22"/>
        <w:szCs w:val="22"/>
      </w:rPr>
      <w:t xml:space="preserve">  |  Deliverable C: Diagramy Procesów  |  Sprint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796B"/>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6323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6323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2026-03-16T09:01:27.245Z</dcterms:created>
  <dcterms:modified xsi:type="dcterms:W3CDTF">2026-03-16T09:01:27.247Z</dcterms:modified>
</cp:coreProperties>
</file>

<file path=docProps/custom.xml><?xml version="1.0" encoding="utf-8"?>
<Properties xmlns="http://schemas.openxmlformats.org/officeDocument/2006/custom-properties" xmlns:vt="http://schemas.openxmlformats.org/officeDocument/2006/docPropsVTypes"/>
</file>