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40"/>
        <w:jc w:val="center"/>
      </w:pPr>
      <w:r>
        <w:rPr>
          <w:rFonts w:ascii="Arial" w:cs="Arial" w:eastAsia="Arial" w:hAnsi="Arial"/>
          <w:b/>
          <w:bCs/>
          <w:color w:val="1A1A2E"/>
          <w:sz w:val="60"/>
          <w:szCs w:val="60"/>
        </w:rPr>
        <w:t xml:space="preserve">CERTO</w:t>
      </w:r>
    </w:p>
    <w:p>
      <w:pPr>
        <w:spacing w:after="140"/>
        <w:jc w:val="center"/>
      </w:pPr>
      <w:r>
        <w:rPr>
          <w:rFonts w:ascii="Arial" w:cs="Arial" w:eastAsia="Arial" w:hAnsi="Arial"/>
          <w:b/>
          <w:bCs/>
          <w:color w:val="2E5090"/>
          <w:sz w:val="44"/>
          <w:szCs w:val="44"/>
        </w:rPr>
        <w:t xml:space="preserve">NORMY ZEWNĘTRZNE</w:t>
      </w:r>
    </w:p>
    <w:p>
      <w:pPr>
        <w:spacing w:before="200"/>
      </w:pPr>
    </w:p>
    <w:p>
      <w:pPr>
        <w:spacing w:after="140"/>
        <w:jc w:val="center"/>
      </w:pPr>
      <w:r>
        <w:rPr>
          <w:rFonts w:ascii="Arial" w:cs="Arial" w:eastAsia="Arial" w:hAnsi="Arial"/>
          <w:color w:val="666666"/>
          <w:sz w:val="22"/>
          <w:szCs w:val="22"/>
        </w:rPr>
        <w:t xml:space="preserve">Standardy, certyfikacje i wymogi architektoniczne
wdrażane przez Fundację CGI i Spółkę Certo ID PSA
w celu zapewnienia wiarygodności instytucjonalnej</w:t>
      </w:r>
    </w:p>
    <w:p>
      <w:pPr>
        <w:spacing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pPr>
              <w:spacing w:after="40"/>
            </w:pPr>
            <w:r>
              <w:rPr>
                <w:rFonts w:ascii="Arial" w:cs="Arial" w:eastAsia="Arial" w:hAnsi="Arial"/>
                <w:b/>
                <w:bCs/>
                <w:sz w:val="19"/>
                <w:szCs w:val="19"/>
              </w:rPr>
              <w:t xml:space="preserve">Wersja</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2.1 + Załącznik A (MVP) — wersja finalna</w:t>
            </w:r>
          </w:p>
        </w:tc>
      </w:tr>
      <w:tr>
        <w:tc>
          <w:tcPr>
            <w:tcW w:type="dxa" w:w="24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pPr>
              <w:spacing w:after="40"/>
            </w:pPr>
            <w:r>
              <w:rPr>
                <w:rFonts w:ascii="Arial" w:cs="Arial" w:eastAsia="Arial" w:hAnsi="Arial"/>
                <w:b/>
                <w:bCs/>
                <w:sz w:val="19"/>
                <w:szCs w:val="19"/>
              </w:rPr>
              <w:t xml:space="preserve">Data</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Marzec 2026</w:t>
            </w:r>
          </w:p>
        </w:tc>
      </w:tr>
      <w:tr>
        <w:tc>
          <w:tcPr>
            <w:tcW w:type="dxa" w:w="24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pPr>
              <w:spacing w:after="40"/>
            </w:pPr>
            <w:r>
              <w:rPr>
                <w:rFonts w:ascii="Arial" w:cs="Arial" w:eastAsia="Arial" w:hAnsi="Arial"/>
                <w:b/>
                <w:bCs/>
                <w:sz w:val="19"/>
                <w:szCs w:val="19"/>
              </w:rPr>
              <w:t xml:space="preserve">Status</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Do zatwierdzenia uchwałą Zarządu — gotowa do Sprint 0</w:t>
            </w:r>
          </w:p>
        </w:tc>
      </w:tr>
      <w:tr>
        <w:tc>
          <w:tcPr>
            <w:tcW w:type="dxa" w:w="24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pPr>
              <w:spacing w:after="40"/>
            </w:pPr>
            <w:r>
              <w:rPr>
                <w:rFonts w:ascii="Arial" w:cs="Arial" w:eastAsia="Arial" w:hAnsi="Arial"/>
                <w:b/>
                <w:bCs/>
                <w:sz w:val="19"/>
                <w:szCs w:val="19"/>
              </w:rPr>
              <w:t xml:space="preserve">Podstawa statutowa</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§8 ust. 5, 7, 16, 20; §9; §12–15</w:t>
            </w:r>
          </w:p>
        </w:tc>
      </w:tr>
      <w:tr>
        <w:tc>
          <w:tcPr>
            <w:tcW w:type="dxa" w:w="24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pPr>
              <w:spacing w:after="40"/>
            </w:pPr>
            <w:r>
              <w:rPr>
                <w:rFonts w:ascii="Arial" w:cs="Arial" w:eastAsia="Arial" w:hAnsi="Arial"/>
                <w:b/>
                <w:bCs/>
                <w:sz w:val="19"/>
                <w:szCs w:val="19"/>
              </w:rPr>
              <w:t xml:space="preserve">Podmioty</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Fundacja CGI + Spółka Certo ID PSA</w:t>
            </w:r>
          </w:p>
        </w:tc>
      </w:tr>
      <w:tr>
        <w:tc>
          <w:tcPr>
            <w:tcW w:type="dxa" w:w="24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pPr>
              <w:spacing w:after="40"/>
            </w:pPr>
            <w:r>
              <w:rPr>
                <w:rFonts w:ascii="Arial" w:cs="Arial" w:eastAsia="Arial" w:hAnsi="Arial"/>
                <w:b/>
                <w:bCs/>
                <w:sz w:val="19"/>
                <w:szCs w:val="19"/>
              </w:rPr>
              <w:t xml:space="preserve">Zatwierdzenie</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Uchwała Zarządu + opinia Izby Nadzoru Certo</w:t>
            </w:r>
          </w:p>
        </w:tc>
      </w:tr>
    </w:tbl>
    <w:p>
      <w:r>
        <w:br w:type="page"/>
      </w:r>
    </w:p>
    <w:p>
      <w:pPr>
        <w:pStyle w:val="Heading1"/>
      </w:pPr>
      <w:r>
        <w:t xml:space="preserve">Historia wersji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Wersja</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Zmiany</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v1.0</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Pierwsza wersja. 5 norm rdzeniowych, 3 dobudówki, 4-fazowy harmonogram.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v1.1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Recenzja I: +ISO 9001, +EU AI Act, +NIS2/DORA, +IMS, +ISO 27017/27018.</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v1.2</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Recenzja II: +sekcja Wymogi architektoniczne (Compliance Engine, Break-Glass, IaC, Policy CI/CD). +Następne kroki.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v1.3</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Recenzja III (krytyczna, inżynieryjna). 5 korekt: Risk-Based Approval, Break-Glass M-of-N, Compliance Ready, Performance Architecture, Immutable Ledger.</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v1.4</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Recenzja IV (Day 2 Operations). 4 uzupełnienia: Anti-Rubber-Stamping, DPoP, Out-of-Band Alerting, R-BOM.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v1.5</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Recenzja V (Autonomia i Zero-Trust). Smart Resolutions, Trustless Anchoring, Data Provenance, Shadow Mode, Context-Aware Risk.</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v2.0</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Recenzja VI (Compliance UX). Frictionless Compliance, Trust Badge, Readiness Dashboards.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v2.1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VII–XV: Compliance Engine 8→4 funkcje. Audit Ledger: append-only + eIDAS + WORM. Break-Glass: 2 osoby + audit + review. Data Provenance: 3 bramki. Performance/IaC/CI/CD: zasady nie implementacja. Deliverables: język instytucjonalny. WERSJA FINALNA.</w:t>
            </w:r>
          </w:p>
        </w:tc>
      </w:tr>
    </w:tbl>
    <w:p>
      <w:r>
        <w:br w:type="page"/>
      </w:r>
    </w:p>
    <w:p>
      <w:pPr>
        <w:pStyle w:val="Heading1"/>
      </w:pPr>
      <w:r>
        <w:t xml:space="preserve">Spis treści</w:t>
      </w:r>
    </w:p>
    <w:sdt>
      <w:sdtPr>
        <w:alias w:val="Spis treści"/>
      </w:sdtPr>
      <w:sdtContent>
        <w:p>
          <w:r>
            <w:fldChar w:fldCharType="begin" w:dirty="true"/>
            <w:instrText xml:space="preserve">TOC \h \o "1-3"</w:instrText>
            <w:fldChar w:fldCharType="separate"/>
          </w:r>
        </w:p>
        <w:p>
          <w:r>
            <w:fldChar w:fldCharType="end"/>
          </w:r>
        </w:p>
      </w:sdtContent>
    </w:sdt>
    <w:p>
      <w:pPr>
        <w:spacing w:after="140"/>
      </w:pPr>
      <w:r>
        <w:rPr>
          <w:rFonts w:ascii="Arial" w:cs="Arial" w:eastAsia="Arial" w:hAnsi="Arial"/>
          <w:i/>
          <w:iCs/>
          <w:color w:val="999999"/>
          <w:sz w:val="18"/>
          <w:szCs w:val="18"/>
        </w:rPr>
        <w:t xml:space="preserve">(Aktualizacja: Ctrl+A → F9)</w:t>
      </w:r>
    </w:p>
    <w:p>
      <w:r>
        <w:br w:type="page"/>
      </w:r>
    </w:p>
    <w:p>
      <w:pPr>
        <w:pStyle w:val="Heading1"/>
      </w:pPr>
      <w:r>
        <w:t xml:space="preserve">Streszczenie wykonawcze</w:t>
      </w:r>
    </w:p>
    <w:p>
      <w:pPr>
        <w:spacing w:after="140"/>
      </w:pPr>
      <w:r>
        <w:rPr>
          <w:rFonts w:ascii="Arial" w:cs="Arial" w:eastAsia="Arial" w:hAnsi="Arial"/>
          <w:b/>
          <w:bCs/>
          <w:sz w:val="22"/>
          <w:szCs w:val="22"/>
        </w:rPr>
        <w:t xml:space="preserve">Certo Governance Institute jest instytucją ratingową oceniającą jakość zarządzania (governance) w sektorze korporacyjnym, publicznym, medycznym i obronnym.</w:t>
      </w:r>
    </w:p>
    <w:p>
      <w:pPr>
        <w:spacing w:after="140"/>
      </w:pPr>
      <w:r>
        <w:rPr>
          <w:rFonts w:ascii="Arial" w:cs="Arial" w:eastAsia="Arial" w:hAnsi="Arial"/>
          <w:sz w:val="22"/>
          <w:szCs w:val="22"/>
        </w:rPr>
        <w:t xml:space="preserve">Fundacja CGI projektuje metodologię i wydaje ratingi. Spółka Certo ID PSA buduje i utrzymuje platformę technologiczną. Rozdzielenie tych funkcji gwarantuje niezależność analityczną od interesów komercyjnych.</w:t>
      </w:r>
    </w:p>
    <w:p>
      <w:pPr>
        <w:spacing w:after="140"/>
      </w:pPr>
      <w:r>
        <w:rPr>
          <w:rFonts w:ascii="Arial" w:cs="Arial" w:eastAsia="Arial" w:hAnsi="Arial"/>
          <w:sz w:val="22"/>
          <w:szCs w:val="22"/>
        </w:rPr>
        <w:t xml:space="preserve">Niniejszy dokument definiuje normy, standardy i wymogi architektoniczne, które Certo wdraża u siebie — aby instytucja oceniająca innych sama praktykowała to, co mierzy. Rdzeń stanowi 6 norm ISO (jakość, bezpieczeństwo, antykorupcja, compliance, AI, peer review). Architektura platformy Certo Online wspiera egzekwowanie kluczowych wymogów tych norm poprzez mechanizmy architektoniczne (Compliance Engine).</w:t>
      </w:r>
    </w:p>
    <w:p>
      <w:pPr>
        <w:spacing w:after="140"/>
      </w:pPr>
      <w:r>
        <w:rPr>
          <w:rFonts w:ascii="Arial" w:cs="Arial" w:eastAsia="Arial" w:hAnsi="Arial"/>
          <w:sz w:val="22"/>
          <w:szCs w:val="22"/>
        </w:rPr>
        <w:t xml:space="preserve">Każdy rating jest decyzją ekspercko-ludzką. Technologia zabezpiecza proces, w którym decyzje podejmują ludzie. System nie podejmuje decyzji — pilnuje, że procedury są przestrzegane, konflikty interesów wykrywane, a każda akcja logowana niezmiennie.</w:t>
      </w:r>
    </w:p>
    <w:p>
      <w:pPr>
        <w:spacing w:after="140"/>
      </w:pPr>
      <w:r>
        <w:rPr>
          <w:rFonts w:ascii="Arial" w:cs="Arial" w:eastAsia="Arial" w:hAnsi="Arial"/>
          <w:sz w:val="22"/>
          <w:szCs w:val="22"/>
        </w:rPr>
        <w:t xml:space="preserve">Załącznik A definiuje pragmatyczną ścieżkę wdrożenia (MVP) — co budujemy od dnia zero, a co dodajemy iteracyjnie, zachowując pełną zgodność z normami od pierwszego ratingu.</w:t>
      </w:r>
    </w:p>
    <w:p>
      <w:r>
        <w:br w:type="page"/>
      </w:r>
    </w:p>
    <w:p>
      <w:pPr>
        <w:pStyle w:val="Heading1"/>
      </w:pPr>
      <w:r>
        <w:t xml:space="preserve">1. Wprowadzenie</w:t>
      </w:r>
    </w:p>
    <w:p>
      <w:pPr>
        <w:pStyle w:val="Heading2"/>
      </w:pPr>
      <w:r>
        <w:t xml:space="preserve">1.1. Cel dokumentu</w:t>
      </w:r>
    </w:p>
    <w:p>
      <w:pPr>
        <w:spacing w:after="140"/>
      </w:pPr>
      <w:r>
        <w:rPr>
          <w:rFonts w:ascii="Arial" w:cs="Arial" w:eastAsia="Arial" w:hAnsi="Arial"/>
          <w:sz w:val="22"/>
          <w:szCs w:val="22"/>
        </w:rPr>
        <w:t xml:space="preserve">Niniejszy dokument definiuje normy, standardy, certyfikacje oraz wymogi architektoniczne, które Fundacja Certo Governance Institute (dalej: Fundacja) i Spółka Certo ID PSA (dalej: Spółka) wdrażają u siebie w celu zapewnienia wiarygodności instytucjonalnej jako podmiotu prowadzącego niezależną działalność ewaluacyjną i ratingową.</w:t>
      </w:r>
    </w:p>
    <w:p>
      <w:pPr>
        <w:spacing w:after="140"/>
      </w:pPr>
      <w:r>
        <w:rPr>
          <w:rFonts w:ascii="Arial" w:cs="Arial" w:eastAsia="Arial" w:hAnsi="Arial"/>
          <w:sz w:val="22"/>
          <w:szCs w:val="22"/>
        </w:rPr>
        <w:t xml:space="preserve">Dokument odpowiada na dwa pytania: (1) „Czym Certo się legitymizuje wobec podmiotu ocenianego, regulatora i opinii publicznej?” oraz (2) „Jak Certo gwarantuje architektonicznie, że każda operacja w systemie przechodzi przez warstwę walidacji normowej?”</w:t>
      </w:r>
    </w:p>
    <w:p>
      <w:pPr>
        <w:spacing w:after="140"/>
      </w:pPr>
      <w:r>
        <w:rPr>
          <w:rFonts w:ascii="Arial" w:cs="Arial" w:eastAsia="Arial" w:hAnsi="Arial"/>
          <w:sz w:val="22"/>
          <w:szCs w:val="22"/>
        </w:rPr>
        <w:t xml:space="preserve">Dokument nie opisuje norm, które Certo musi znać per sektor oceniany — to jest przedmiotem odrębnej Mapy Norm Sektorowych i kalibracji sektorowej metodologii Certo Score.</w:t>
      </w:r>
    </w:p>
    <w:p>
      <w:pPr>
        <w:pStyle w:val="Heading2"/>
      </w:pPr>
      <w:r>
        <w:t xml:space="preserve">1.2. Zasada fundamentalna</w:t>
      </w:r>
    </w:p>
    <w:p>
      <w:pPr>
        <w:spacing w:after="140"/>
      </w:pPr>
      <w:r>
        <w:rPr>
          <w:rFonts w:ascii="Arial" w:cs="Arial" w:eastAsia="Arial" w:hAnsi="Arial"/>
          <w:b/>
          <w:bCs/>
          <w:sz w:val="22"/>
          <w:szCs w:val="22"/>
        </w:rPr>
        <w:t xml:space="preserve">Instytucja, która ocenia jakość zarządzania innych, musi sama praktykować to, co mierzy.</w:t>
      </w:r>
    </w:p>
    <w:p>
      <w:pPr>
        <w:spacing w:after="140"/>
      </w:pPr>
      <w:r>
        <w:rPr>
          <w:rFonts w:ascii="Arial" w:cs="Arial" w:eastAsia="Arial" w:hAnsi="Arial"/>
          <w:sz w:val="22"/>
          <w:szCs w:val="22"/>
        </w:rPr>
        <w:t xml:space="preserve">Normy zewnętrzne są odpowiedzią na to pytanie na poziomie normatywnym, audytowalnym i międzynarodowo rozpoznawalnym. Wymogi architektoniczne (sekcja 5) gwarantują, że te normy są egzekwowane maszynowo — nie proceduralnie, nie papierowo, lecz na poziomie kodu źródłowego platformy.</w:t>
      </w:r>
    </w:p>
    <w:p>
      <w:pPr>
        <w:spacing w:after="40"/>
      </w:pPr>
      <w:r>
        <w:rPr>
          <w:rFonts w:ascii="Arial" w:cs="Arial" w:eastAsia="Arial" w:hAnsi="Arial"/>
          <w:b/>
          <w:bCs/>
          <w:color w:val="2D7D2D"/>
          <w:sz w:val="18"/>
          <w:szCs w:val="18"/>
        </w:rPr>
        <w:t xml:space="preserve">[Nowe w v2.1 — po recenzji instytucjonalnej X–XI]</w:t>
      </w:r>
    </w:p>
    <w:p>
      <w:pPr>
        <w:spacing w:after="140"/>
      </w:pPr>
      <w:r>
        <w:rPr>
          <w:rFonts w:ascii="Arial" w:cs="Arial" w:eastAsia="Arial" w:hAnsi="Arial"/>
          <w:b/>
          <w:bCs/>
          <w:sz w:val="22"/>
          <w:szCs w:val="22"/>
        </w:rPr>
        <w:t xml:space="preserve">Automatyzacja służy człowiekowi, nie zastępuje go.</w:t>
      </w:r>
    </w:p>
    <w:p>
      <w:pPr>
        <w:spacing w:after="140"/>
      </w:pPr>
      <w:r>
        <w:rPr>
          <w:rFonts w:ascii="Arial" w:cs="Arial" w:eastAsia="Arial" w:hAnsi="Arial"/>
          <w:sz w:val="22"/>
          <w:szCs w:val="22"/>
        </w:rPr>
        <w:t xml:space="preserve">Certo jest instytucją ekspercko-ludzkiej oceny (human judgement), nie algorytmicznym generatorem ratingów. Technologia (Compliance Engine, Delegat AI, automatyzacja procesów) pełni rolę strażnika procedur i asystenta administracyjnego — minimalizuje błędy ludzkie, wspiera egzekwowanie procedur i przyspiesza pracę biurową. Każdy rating, każda opinia, każda decyzja o publikacji jest podejmowana przez człowieka na podstawie własnego osądu merytorycznego. System Certo Online nie podejmuje decyzji — zabezpiecza proces, w którym decyzje podejmują ludzie.</w:t>
      </w:r>
    </w:p>
    <w:p>
      <w:pPr>
        <w:pStyle w:val="Heading2"/>
      </w:pPr>
      <w:r>
        <w:t xml:space="preserve">1.3. Pozycja Certo w krajobrazie normatywnym</w:t>
      </w:r>
    </w:p>
    <w:p>
      <w:pPr>
        <w:spacing w:after="140"/>
      </w:pPr>
      <w:r>
        <w:rPr>
          <w:rFonts w:ascii="Arial" w:cs="Arial" w:eastAsia="Arial" w:hAnsi="Arial"/>
          <w:sz w:val="22"/>
          <w:szCs w:val="22"/>
        </w:rPr>
        <w:t xml:space="preserve">Certo nie jest klasyczną jednostką certyfikującą (TÜV, Bureau Veritas, SGS) — jest instytucją ratingową. Ratingi Certo mają charakter opinii eksperckiej opartej na metodologii Fundacji (§8 ust. 4 Statutu). W konsekwencji ISO/IEC 17065 (wymogi dla jednostek certyfikujących) nie jest właściwą normą dla Certo. Rozporządzenie UE 2024/3005 o ratingach ESG jest istotnym punktem odniesienia — dobrowolna zgodność z duchem tego rozporządzenia i rekomendacjami IOSCO jest niezbędna do uniknięcia ryzyka regulacyjnego.</w:t>
      </w:r>
    </w:p>
    <w:p>
      <w:pPr>
        <w:pStyle w:val="Heading2"/>
      </w:pPr>
      <w:r>
        <w:t xml:space="preserve">1.4. Podział odpowiedzialności: Fundacja vs. Spółka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Podmiot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Rola i odpowiedzialność</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Fundacja CGI</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Instytucja ratingowa. Projektuje metodologię, wydaje ratingi, nadzoruje standard. Odpowiada za: etykę, niezależność, compliance, antykorupcję, rzetelność metodologii.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Spółka Certo ID</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Operator technologiczny i licencjobiorca (§7 ust. 3). Buduje i utrzymuje platformę Certo Online, silnik analityczny, Delegata AI. Odpowiada za: bezpieczeństwo informacji, prywatność danych, zarządzanie AI, ciągłość działania, infrastrukturę.</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Wspólnie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Zintegrowany System Zarządzania (IMS). Compliance Engine. Policy CI/CD. Break-Glass Protocol.</w:t>
            </w:r>
          </w:p>
        </w:tc>
      </w:tr>
    </w:tbl>
    <w:p>
      <w:pPr>
        <w:pStyle w:val="Heading2"/>
      </w:pPr>
      <w:r>
        <w:t xml:space="preserve">1.5. Odpowiedzialność osobista za decyzje</w:t>
      </w:r>
    </w:p>
    <w:p>
      <w:pPr>
        <w:spacing w:after="40"/>
      </w:pPr>
      <w:r>
        <w:rPr>
          <w:rFonts w:ascii="Arial" w:cs="Arial" w:eastAsia="Arial" w:hAnsi="Arial"/>
          <w:b/>
          <w:bCs/>
          <w:color w:val="2D7D2D"/>
          <w:sz w:val="18"/>
          <w:szCs w:val="18"/>
        </w:rPr>
        <w:t xml:space="preserve">[Nowe w v2.1 — po recenzji instytucjonalnej]</w:t>
      </w:r>
    </w:p>
    <w:p>
      <w:pPr>
        <w:spacing w:after="140"/>
      </w:pPr>
      <w:r>
        <w:rPr>
          <w:rFonts w:ascii="Arial" w:cs="Arial" w:eastAsia="Arial" w:hAnsi="Arial"/>
          <w:sz w:val="22"/>
          <w:szCs w:val="22"/>
        </w:rPr>
        <w:t xml:space="preserve">Odpowiedzialność za każdą decyzję ratingową ponoszą osoby pełniące funkcje w organach Fundacji zgodnie ze Statutem. System Certo Online dokumentuje proces decyzyjny i wspiera przestrzeganie procedur, lecz nie przejmuje odpowiedzialności za treść decyzji. Decyzje ratingowe są decyzjami eksperckimi ludzi działających w ramach organów Fundacji.</w:t>
      </w:r>
    </w:p>
    <w:p>
      <w:pPr>
        <w:pStyle w:val="Heading2"/>
      </w:pPr>
      <w:r>
        <w:t xml:space="preserve">1.6. Zasada niezależności analitycznej</w:t>
      </w:r>
    </w:p>
    <w:p>
      <w:pPr>
        <w:spacing w:after="140"/>
      </w:pPr>
      <w:r>
        <w:rPr>
          <w:rFonts w:ascii="Arial" w:cs="Arial" w:eastAsia="Arial" w:hAnsi="Arial"/>
          <w:sz w:val="22"/>
          <w:szCs w:val="22"/>
        </w:rPr>
        <w:t xml:space="preserve">Osoby uczestniczące w procesie ewaluacyjnym działają niezależnie od interesów handlowych Spółki Certo ID PSA. System Certo Online oddziela warstwę technologii i obsługi systemu od warstwy analitycznej i decyzji ratingowych. Żadna osoba zaangażowana w sprzedaż, marketing lub rozwój biznesowy Spółki nie może uczestniczyć w procesie ewaluacji ani wpływać na treść ratingu (§8 ust. 15 Statutu).</w:t>
      </w:r>
    </w:p>
    <w:p>
      <w:pPr>
        <w:pStyle w:val="Heading2"/>
      </w:pPr>
      <w:r>
        <w:t xml:space="preserve">1.7. Charakter prawny ratingu</w:t>
      </w:r>
    </w:p>
    <w:p>
      <w:pPr>
        <w:spacing w:after="140"/>
      </w:pPr>
      <w:r>
        <w:rPr>
          <w:rFonts w:ascii="Arial" w:cs="Arial" w:eastAsia="Arial" w:hAnsi="Arial"/>
          <w:sz w:val="22"/>
          <w:szCs w:val="22"/>
        </w:rPr>
        <w:t xml:space="preserve">Rating Certo stanowi opinię ekspercka sporządzoną według metodologii Fundacji. Nie stanowi rekomendacji inwestycyjnej, doradztwa prawnego ani certyfikacji w rozumieniu norm akredytacyjnych. Odpowiedzialność prawna za rating podlega zasadom ogólnym prawa cywilnego i jest ograniczona do przypadków rażącego naruszenia metodologii lub procedur.</w:t>
      </w:r>
    </w:p>
    <w:p>
      <w:r>
        <w:br w:type="page"/>
      </w:r>
    </w:p>
    <w:p>
      <w:pPr>
        <w:pStyle w:val="Heading1"/>
      </w:pPr>
      <w:r>
        <w:t xml:space="preserve">2. Architektura norm — rdzeń i dobudówki</w:t>
      </w:r>
    </w:p>
    <w:p>
      <w:pPr>
        <w:pStyle w:val="Heading2"/>
      </w:pPr>
      <w:r>
        <w:t xml:space="preserve">2.1. Matryca pokrycia sektorowego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2226"/>
      </w:tblGrid>
      <w:tr>
        <w:tc>
          <w:tcPr>
            <w:tcW w:type="dxa" w:w="20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Norma</w:t>
            </w:r>
          </w:p>
        </w:tc>
        <w:tc>
          <w:tcPr>
            <w:tcW w:type="dxa" w:w="1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Korpo</w:t>
            </w:r>
          </w:p>
        </w:tc>
        <w:tc>
          <w:tcPr>
            <w:tcW w:type="dxa" w:w="1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NGO</w:t>
            </w:r>
          </w:p>
        </w:tc>
        <w:tc>
          <w:tcPr>
            <w:tcW w:type="dxa" w:w="1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JST</w:t>
            </w:r>
          </w:p>
        </w:tc>
        <w:tc>
          <w:tcPr>
            <w:tcW w:type="dxa" w:w="1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Med.</w:t>
            </w:r>
          </w:p>
        </w:tc>
        <w:tc>
          <w:tcPr>
            <w:tcW w:type="dxa" w:w="22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Obr.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9001</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ISO/IEC 27001</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37001</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37301</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42001</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Peer review + IOSCO</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27701</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27017 + 27018</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Certyfikat ABW</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22301</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c>
          <w:tcPr>
            <w:tcW w:type="dxa" w:w="2226"/>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pPr>
              <w:spacing w:after="40"/>
            </w:pPr>
            <w:r>
              <w:rPr>
                <w:rFonts w:ascii="Arial" w:cs="Arial" w:eastAsia="Arial" w:hAnsi="Arial"/>
                <w:b w:val="false"/>
                <w:bCs w:val="false"/>
                <w:sz w:val="19"/>
                <w:szCs w:val="19"/>
              </w:rPr>
              <w:t xml:space="preserve">!</w:t>
            </w:r>
          </w:p>
        </w:tc>
      </w:tr>
    </w:tbl>
    <w:p>
      <w:pPr>
        <w:spacing w:before="80"/>
      </w:pPr>
    </w:p>
    <w:p>
      <w:pPr>
        <w:spacing w:after="140"/>
      </w:pPr>
      <w:r>
        <w:rPr>
          <w:rFonts w:ascii="Arial" w:cs="Arial" w:eastAsia="Arial" w:hAnsi="Arial"/>
          <w:color w:val="666666"/>
          <w:sz w:val="19"/>
          <w:szCs w:val="19"/>
        </w:rPr>
        <w:t xml:space="preserve">✓ = rdzeń pokrywa  |  ! = dobudówka sektorowa  |  — = nie wymagana (rdzeń wystarcza)</w:t>
      </w:r>
    </w:p>
    <w:p>
      <w:pPr>
        <w:pStyle w:val="Heading2"/>
      </w:pPr>
      <w:r>
        <w:t xml:space="preserve">2.2. Logika architektury — sześć pytań</w:t>
      </w:r>
    </w:p>
    <w:p>
      <w:pPr>
        <w:spacing w:after="140"/>
      </w:pPr>
      <w:r>
        <w:rPr>
          <w:rFonts w:ascii="Arial" w:cs="Arial" w:eastAsia="Arial" w:hAnsi="Arial"/>
          <w:sz w:val="22"/>
          <w:szCs w:val="22"/>
        </w:rPr>
        <w:t xml:space="preserve">Rdzeń odpowiada na sześć pytań, które każdy podmiot oceniany — niezależnie od branży — zada instytucji ratingowej: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Pytanie podmiotu ocenianego</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Odpowiedź normatywna Certo</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„Czy dostarczacie jakość?”</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ISO 9001 — zarządzanie jakością. Uniwersalny język B2B/B2G. Fundament norm branżowych (AQAP 2110 dla defense, AS9100 dla aerospace).</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„Czy chronicie nasze dane?”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ISO 27001 — bezpieczeństwo informacji. Certo wchodzi w łańcuch dostaw klientów objętych NIS2/DORA. Gotowość do obsługi tych klientów.</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„Czy jesteście uczciwi?”</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ISO 37001 — antykorupcja. Oba sektory priorytetowe (medyczny, obronny) są globalnie narażone na korupcję. Certyfikat zamyka argument ad hominem.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„Czy macie porządek wewnętrznie?”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ISO 37301 — compliance management. Formalizuje to, co Statut już buduje: Izba Nadzoru, wyłączenia, Register of Interests, rotacja.</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„Czy AI jest pod kontrolą?”</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ISO 42001 — zarządzanie AI + zgodność z EU AI Act. Delegat AI asystuje przy każdej ewaluacji — Certo musi wykazać, że AI nie podejmuje autonomicznych decyzji.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„Czy wasza metodologia jest rzetelna?”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Peer review (§13 ust. 12) + zgodność z rekomendacjami IOSCO. Substantive governance — weryfikacja merytoryczna, nie tylko procesowa.</w:t>
            </w:r>
          </w:p>
        </w:tc>
      </w:tr>
    </w:tbl>
    <w:p>
      <w:r>
        <w:br w:type="page"/>
      </w:r>
    </w:p>
    <w:p>
      <w:pPr>
        <w:pStyle w:val="Heading1"/>
      </w:pPr>
      <w:r>
        <w:t xml:space="preserve">3. Rdzeń uniwersalny — szczegółowe opisy</w:t>
      </w:r>
    </w:p>
    <w:p>
      <w:pPr>
        <w:pStyle w:val="Heading2"/>
      </w:pPr>
      <w:r>
        <w:t xml:space="preserve">3.1. ISO 9001:2015 — Zarządzanie jakością</w:t>
      </w:r>
    </w:p>
    <w:p>
      <w:pPr>
        <w:spacing w:after="140"/>
      </w:pPr>
      <w:r>
        <w:rPr>
          <w:rFonts w:ascii="Arial" w:cs="Arial" w:eastAsia="Arial" w:hAnsi="Arial"/>
          <w:sz w:val="22"/>
          <w:szCs w:val="22"/>
        </w:rPr>
        <w:t xml:space="preserve">System zarządzania jakością (QMS) oparty na strukturze High-Level (HLS), wspólnej z innymi normami ISO. Stanowi fundament Zintegrowanego Systemu Zarządzania oraz bazę dla norm branżowych (AQAP 2110 w sektorze obronnym, AS9100 w lotnictwie). Brak ISO 9001 bywa powodem automatycznego odrzucenia w przetargach B2B i B2G.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Wdraża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Spółka (certyfikacja) + Fundacja (certyfikacja lub zgodność).</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Pokrycie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Wszystkie sektory. Rdzeń.</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Statut</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§7 ust. 3, 6; §8 ust. 14.</w:t>
            </w:r>
          </w:p>
        </w:tc>
      </w:tr>
    </w:tbl>
    <w:p>
      <w:pPr>
        <w:pStyle w:val="Heading2"/>
      </w:pPr>
      <w:r>
        <w:t xml:space="preserve">3.2. ISO/IEC 27001:2022 — Bezpieczeństwo informacji</w:t>
      </w:r>
    </w:p>
    <w:p>
      <w:pPr>
        <w:spacing w:after="140"/>
      </w:pPr>
      <w:r>
        <w:rPr>
          <w:rFonts w:ascii="Arial" w:cs="Arial" w:eastAsia="Arial" w:hAnsi="Arial"/>
          <w:sz w:val="22"/>
          <w:szCs w:val="22"/>
        </w:rPr>
        <w:t xml:space="preserve">System zarządzania bezpieczeństwem informacji (ISMS) obejmujący: politykę bezpieczeństwa, ocenę ryzyka, kontrole dostępu, zarządzanie incydentami, audyt wewnętrzny. Certo przetwarza dane poufne podmiotów ocenianych (§9 Statutu), oświadczenia o interesach i materiały analityczne. Jako operator platformy SaaS, Spółka Certo ID wchodzi w łańcuch dostaw klientów objętych dyrektywami NIS2 i DORA — ISO 27001 pokrywa te wymogi i stanowi warunek wejścia.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Wdraża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Spółka (certyfikacja). Fundacja (zgodność proceduralna, §9).</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Pokrycie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Wszystkie sektory. Rdzeń — przed pierwszym ratingiem.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Statut</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§9 (poufność), §8 ust. 7 (inf. niejawne), §8 ust. 20f.</w:t>
            </w:r>
          </w:p>
        </w:tc>
      </w:tr>
    </w:tbl>
    <w:p>
      <w:pPr>
        <w:pStyle w:val="Heading2"/>
      </w:pPr>
      <w:r>
        <w:t xml:space="preserve">3.3. ISO 37001:2025 — Zarządzanie antykorupcyjne</w:t>
      </w:r>
    </w:p>
    <w:p>
      <w:pPr>
        <w:spacing w:after="140"/>
      </w:pPr>
      <w:r>
        <w:rPr>
          <w:rFonts w:ascii="Arial" w:cs="Arial" w:eastAsia="Arial" w:hAnsi="Arial"/>
          <w:sz w:val="22"/>
          <w:szCs w:val="22"/>
        </w:rPr>
        <w:t xml:space="preserve">System antykorupcyjny obejmujący: politykę, szkolenia, due diligence, kontrole finansowe, kanały sygnalizacyjne. Instytucja ratingowa oceniająca przejrzystość i antykorupcję u innych musi sama mieć certyfikowany system — bez niego każdy podmiot oceniany ma natychmiastowy argument ad hominem. Statut v17 zawiera już wiele elementów wymaganych przez tę normę (§8 ust. 15, 19; §9 ust. 7, 10; §10 ust. 8–9).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Wdraża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Fundacja (certyfikacja). Overlap ~60% z ISO 37301 — wdrażane równolegle w IMS.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Pokrycie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Wszystkie sektory. Rdzeń.</w:t>
            </w:r>
          </w:p>
        </w:tc>
      </w:tr>
    </w:tbl>
    <w:p>
      <w:pPr>
        <w:pStyle w:val="Heading2"/>
      </w:pPr>
      <w:r>
        <w:t xml:space="preserve">3.4. ISO 37301:2021 — Compliance management</w:t>
      </w:r>
    </w:p>
    <w:p>
      <w:pPr>
        <w:spacing w:after="140"/>
      </w:pPr>
      <w:r>
        <w:rPr>
          <w:rFonts w:ascii="Arial" w:cs="Arial" w:eastAsia="Arial" w:hAnsi="Arial"/>
          <w:sz w:val="22"/>
          <w:szCs w:val="22"/>
        </w:rPr>
        <w:t xml:space="preserve">System zarządzania zgodnością obejmujący: identyfikację obowiązków, ocenę ryzyk compliance, kontrole, monitorowanie i kulturę zgodności. Formalizuje w międzynarodowej ramie to, co Statut już buduje: Izba Nadzoru (§12), mechanizmy wyłączeń (§8 ust. 19), Register of Interests (§13 ust. 11, §19 ust. 4), zakazy łączenia funkcji, rotacja ewaluatorów (§8 ust.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Wdraża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Fundacja (certyfikacja).</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Pokrycie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Wszystkie sektory. Rdzeń.</w:t>
            </w:r>
          </w:p>
        </w:tc>
      </w:tr>
    </w:tbl>
    <w:p>
      <w:pPr>
        <w:pStyle w:val="Heading2"/>
      </w:pPr>
      <w:r>
        <w:t xml:space="preserve">3.5. ISO/IEC 42001:2023 — Zarządzanie AI</w:t>
      </w:r>
    </w:p>
    <w:p>
      <w:pPr>
        <w:spacing w:after="140"/>
      </w:pPr>
      <w:r>
        <w:rPr>
          <w:rFonts w:ascii="Arial" w:cs="Arial" w:eastAsia="Arial" w:hAnsi="Arial"/>
          <w:sz w:val="22"/>
          <w:szCs w:val="22"/>
        </w:rPr>
        <w:t xml:space="preserve">System zarządzania sztuczną inteligencją obejmujący: politykę AI, ocenę ryzyka, przejrzystość, odpowiedzialność, nadzór ludzki i cykl życia systemów AI. Certo korzysta z AI na dwóch poziomach: Delegat (asystent AI obecny w każdym bloku platformy) oraz silnik analityczny (z potencjalnymi komponentami ML). ISO 42001 stanowi również operacyjne narzędzie zapewniania zgodności z Rozporządzeniem UE 2024/1689 (AI Act) — Certo musi być w stanie wykazać, że Delegat nie podejmuje autonomicznych decyzji ewaluacyjnych (Test Odwrócenia, §8 ust. 20d) i że zakres AI jest określony w Polityce AI (§8 ust. 20e).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Wdraża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Spółka (certyfikacja). Fundacja (Polityka AI, §8 ust. 20e).</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Pokrycie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Wszystkie sektory. Rdzeń.</w:t>
            </w:r>
          </w:p>
        </w:tc>
      </w:tr>
    </w:tbl>
    <w:p>
      <w:pPr>
        <w:pStyle w:val="Heading2"/>
      </w:pPr>
      <w:r>
        <w:t xml:space="preserve">3.6. Peer review metodologii + zgodność z IOSCO</w:t>
      </w:r>
    </w:p>
    <w:p>
      <w:pPr>
        <w:spacing w:after="140"/>
      </w:pPr>
      <w:r>
        <w:rPr>
          <w:rFonts w:ascii="Arial" w:cs="Arial" w:eastAsia="Arial" w:hAnsi="Arial"/>
          <w:sz w:val="22"/>
          <w:szCs w:val="22"/>
        </w:rPr>
        <w:t xml:space="preserve">Niezależny przegląd metodologii co 2 lata (§13 ust. 12 Statutu) przez ekspertów spoza organów i struktur Fundacji, połączony z dobrowolna zgodnością z Rekomendacjami IOSCO dla dostawców ratingów ESG (2021) oraz duchem Rozporządzenia UE 2024/3005. To jest substantive governance — weryfikacja merytoryczna metodologii, nie tylko procesowa. Żadna norma ISO nie zastąpi sprawdzenia, czy formuły i wagi Certo Score rzeczywiście mierzą to, co deklarują.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Wdraża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Fundacja. Peer review koordynowany przez Kolegium, IOSCO deklarowany przez Zarząd.</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Pokrycie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Wszystkie sektory. Rdzeń — przed pierwszą publikacją ratingu.</w:t>
            </w:r>
          </w:p>
        </w:tc>
      </w:tr>
    </w:tbl>
    <w:p>
      <w:r>
        <w:br w:type="page"/>
      </w:r>
    </w:p>
    <w:p>
      <w:pPr>
        <w:pStyle w:val="Heading1"/>
      </w:pPr>
      <w:r>
        <w:t xml:space="preserve">4. Dobudówki sektorowe</w:t>
      </w:r>
    </w:p>
    <w:p>
      <w:pPr>
        <w:spacing w:after="140"/>
      </w:pPr>
      <w:r>
        <w:rPr>
          <w:rFonts w:ascii="Arial" w:cs="Arial" w:eastAsia="Arial" w:hAnsi="Arial"/>
          <w:sz w:val="22"/>
          <w:szCs w:val="22"/>
        </w:rPr>
        <w:t xml:space="preserve">Normy wymagane od Certo wyłącznie przy wejściu w konkretny sektor oceniania. Nie są częścią rdzenia — rdzeń wystarcza dla sektorów korporacyjnego, NGO i JST.</w:t>
      </w:r>
    </w:p>
    <w:p>
      <w:pPr>
        <w:pStyle w:val="Heading2"/>
      </w:pPr>
      <w:r>
        <w:t xml:space="preserve">4.1. ISO 27701:2019 — Prywatność danych (sektor medyczny)</w:t>
      </w:r>
    </w:p>
    <w:p>
      <w:pPr>
        <w:spacing w:after="140"/>
      </w:pPr>
      <w:r>
        <w:rPr>
          <w:rFonts w:ascii="Arial" w:cs="Arial" w:eastAsia="Arial" w:hAnsi="Arial"/>
          <w:sz w:val="22"/>
          <w:szCs w:val="22"/>
        </w:rPr>
        <w:t xml:space="preserve">Rozszerzenie ISMS (ISO 27001) o system zarządzania prywatnością informacji (PIMS). Mapuje się bezpośrednio na wymogi RODO. Wymagane przy wejściu w sektor medyczny, gdzie dane zdrowotne stanowią kategorię szczególną (RODO art. 9), a EHDS (Rozporządzenie UE 2025/327) zmienia zasady udostępniania danych zdrowotnych od 2029. Spółka Certo ID + Fundacja (jeśli zbiera dane w trybie §8 ust. 1a). Faza 2.</w:t>
      </w:r>
    </w:p>
    <w:p>
      <w:pPr>
        <w:pStyle w:val="Heading2"/>
      </w:pPr>
      <w:r>
        <w:t xml:space="preserve">4.2. ISO 27017 + 27018 — Bezpieczeństwo i prywatność w chmurze</w:t>
      </w:r>
    </w:p>
    <w:p>
      <w:pPr>
        <w:spacing w:after="140"/>
      </w:pPr>
      <w:r>
        <w:rPr>
          <w:rFonts w:ascii="Arial" w:cs="Arial" w:eastAsia="Arial" w:hAnsi="Arial"/>
          <w:sz w:val="22"/>
          <w:szCs w:val="22"/>
        </w:rPr>
        <w:t xml:space="preserve">Rozszerzenia ISO 27001 dedykowane platformom chmurowym (SaaS). ISO 27017 = kontrole bezpieczeństwa cloud, ISO 27018 = ochrona PII w cloud. Tańsze i szybsze do uzyskania w Europie niż amerykański SOC 2 Type II, a pełnią analogiczną funkcję zaufania. Spółka Certo ID. Faza 2–3.</w:t>
      </w:r>
    </w:p>
    <w:p>
      <w:pPr>
        <w:pStyle w:val="Heading2"/>
      </w:pPr>
      <w:r>
        <w:t xml:space="preserve">4.3. Certyfikat bezpieczeństwa przemysłowego ABW (sektor obronności)</w:t>
      </w:r>
    </w:p>
    <w:p>
      <w:pPr>
        <w:spacing w:after="140"/>
      </w:pPr>
      <w:r>
        <w:rPr>
          <w:rFonts w:ascii="Arial" w:cs="Arial" w:eastAsia="Arial" w:hAnsi="Arial"/>
          <w:sz w:val="22"/>
          <w:szCs w:val="22"/>
        </w:rPr>
        <w:t xml:space="preserve">Certyfikat na podstawie ustawy z dnia 5 sierpnia 2010 r. o ochronie informacji niejawnych. Statut (§8 ust. 7) pozwala na ewaluację podmiotów obronnych na danych jawnych LUB na podstawie odrębnej umowy. Certyfikat ABW otwiera drugi tryb. Decyzja strategiczna — opcjonalna. Faza 3.</w:t>
      </w:r>
    </w:p>
    <w:p>
      <w:pPr>
        <w:pStyle w:val="Heading2"/>
      </w:pPr>
      <w:r>
        <w:t xml:space="preserve">4.4. ISO 22301:2019 — Ciągłość działania (sektor obronności)</w:t>
      </w:r>
    </w:p>
    <w:p>
      <w:pPr>
        <w:spacing w:after="140"/>
      </w:pPr>
      <w:r>
        <w:rPr>
          <w:rFonts w:ascii="Arial" w:cs="Arial" w:eastAsia="Arial" w:hAnsi="Arial"/>
          <w:sz w:val="22"/>
          <w:szCs w:val="22"/>
        </w:rPr>
        <w:t xml:space="preserve">System zarządzania ciągłością działania: BIA, strategie, plany reakcji, testowanie. Sektor obronny operuje w kontekście eskalacji konfliktów — Certo musi utrzymać ciągłość ratingów w kryzysie. Spółka + Fundacja. Faza 3.</w:t>
      </w:r>
    </w:p>
    <w:p>
      <w:r>
        <w:br w:type="page"/>
      </w:r>
    </w:p>
    <w:p>
      <w:pPr>
        <w:pStyle w:val="Heading1"/>
      </w:pPr>
      <w:r>
        <w:t xml:space="preserve">5. Wymogi architektoniczne (Compliance-as-Code)</w:t>
      </w:r>
    </w:p>
    <w:p>
      <w:pPr>
        <w:spacing w:after="140"/>
      </w:pPr>
      <w:r>
        <w:rPr>
          <w:rFonts w:ascii="Arial" w:cs="Arial" w:eastAsia="Arial" w:hAnsi="Arial"/>
          <w:sz w:val="22"/>
          <w:szCs w:val="22"/>
        </w:rPr>
        <w:t xml:space="preserve">Sekcje 3–4 definiują CO Certo wdraża. Niniejsza sekcja definiuje JAK — na poziomie architektury informatycznej — zapewnić, że każda operacja systemowa przechodzi przez warstwę walidacji normowej. Paradygmat: Compliance-by-Architecture — normy ISO i Statut zakodowane jako egzekwowalne reguły maszynowe.</w:t>
      </w:r>
    </w:p>
    <w:p>
      <w:pPr>
        <w:pStyle w:val="Heading2"/>
      </w:pPr>
      <w:r>
        <w:t xml:space="preserve">5.1. Zintegrowany System Zarządzania (IMS)</w:t>
      </w:r>
    </w:p>
    <w:p>
      <w:pPr>
        <w:spacing w:after="140"/>
      </w:pPr>
      <w:r>
        <w:rPr>
          <w:rFonts w:ascii="Arial" w:cs="Arial" w:eastAsia="Arial" w:hAnsi="Arial"/>
          <w:sz w:val="22"/>
          <w:szCs w:val="22"/>
        </w:rPr>
        <w:t xml:space="preserve">Normy ISO w strukturze High-Level Structure (HLS) mają wspólne nagłówki i punkty. IMS integruje: 9001 + 27001 + 37001 + 37301 w jednym systemie. Jedna polityka zarządzania, jeden audyt wewnętrzny, jeden przegląd zarządzania, certyfikacja łączona. Szacowana redukcja kosztów wdrożenia i certyfikacji: 30–40%.</w:t>
      </w:r>
    </w:p>
    <w:p>
      <w:pPr>
        <w:pStyle w:val="Heading2"/>
      </w:pPr>
      <w:r>
        <w:t xml:space="preserve">5.2. Compliance Engine</w:t>
      </w:r>
    </w:p>
    <w:p>
      <w:pPr>
        <w:spacing w:after="140"/>
      </w:pPr>
      <w:r>
        <w:rPr>
          <w:rFonts w:ascii="Arial" w:cs="Arial" w:eastAsia="Arial" w:hAnsi="Arial"/>
          <w:sz w:val="22"/>
          <w:szCs w:val="22"/>
        </w:rPr>
        <w:t xml:space="preserve">Compliance Engine (OPA WASM in-process) waliduje operacje krytyczne w punktach decyzyjnych. Single-Pass Evaluation: JEDNO wywołanie evaluate(context) per pakiet workflow → tablica decisions[]: BLOCK/WARN + rule + reason. Nie globalny middleware. Transactional Outbox: API robi JEDEN atomowy COMMIT (mutacja + audit_event + outbox_events). Worker realizuje IO (S3 WORM, eIDAS, TSA) w tle. Dry-Run API: ?dry_run=true pozwala frontendowi zapytać OPA bez mutacji DB. 3 niezależne workery (Separation of Duties): Operational (KYC, CRBR, conflict), Evidence (Merkle, eIDAS, S3), Integrity Sentinel (weryfikacja). Decision points: publikacja ratingu, zatwierdzenie metodologii, przypisanie ewaluatora, egzekucja uchwały, rejestracja darowizny, korekta ratingu (REVISE_RATING), zatwierdzenie crypto-shreddingu (APPROVE_SHREDDING), nadpisanie sankcji AML (OVERRIDE_SANCTIONS), weryfikacja niezależności finansowej (NK-022 Funding Independence Gate: BLOCK/REQUIRE_DISCLOSURE jeśli podmiot oceniany należy do funding_influence_graph). Cztery funkcje rdzeniowe: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Funkcja</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Kontrola dostępu (RBAC)</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Walidacja roli, kadencji, braku incompatibilitas i aktualnego oświadczenia o interesach. Pokrywa: ISO 37301, §12–15 Statutu.</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Konflikty interesów</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Sprawdzanie konfliktów interesów przy wejściu do kontekstu sprawy. Blokada + eskalacja do Izby (§8 ust. 19). Rotacja ewaluatorów weryfikowana w rejestrze przypisania (§8 ust. 11).</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Maker-Checker</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Każda kluczowa decyzja wymaga dwóch osób: maker generuje, checker zatwierdza (§8 ust. 20b). Pokrywa: ISO 37001.</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Rejestr zdarzeń (Audit)</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Każda operacja zmieniająca stan logowana w niezmiennym rejestrze (sekcja 5.3). Kto, co, kiedy, z jakiego kontekstu.</w:t>
            </w:r>
          </w:p>
        </w:tc>
      </w:tr>
    </w:tbl>
    <w:p>
      <w:pPr>
        <w:spacing w:after="140"/>
      </w:pPr>
      <w:r>
        <w:rPr>
          <w:rFonts w:ascii="Arial" w:cs="Arial" w:eastAsia="Arial" w:hAnsi="Arial"/>
          <w:sz w:val="22"/>
          <w:szCs w:val="22"/>
        </w:rPr>
        <w:t xml:space="preserve">Pozostałe funkcje (klasyfikacja poufności dokumentów, wizualne blokady w interfejsie, akceptacja polityk przy logowaniu, rejestr reguł Statutu) są realizowane jako logika aplikacyjna platformy Certo Online, nie jako osobne moduły Compliance Engine.</w:t>
      </w:r>
    </w:p>
    <w:p>
      <w:pPr>
        <w:pStyle w:val="Heading2"/>
      </w:pPr>
      <w:r>
        <w:t xml:space="preserve">5.3. Rejestr zdarzeń (Audit Ledger)</w:t>
      </w:r>
    </w:p>
    <w:p>
      <w:pPr>
        <w:spacing w:after="140"/>
      </w:pPr>
      <w:r>
        <w:rPr>
          <w:rFonts w:ascii="Arial" w:cs="Arial" w:eastAsia="Arial" w:hAnsi="Arial"/>
          <w:sz w:val="22"/>
          <w:szCs w:val="22"/>
        </w:rPr>
        <w:t xml:space="preserve">Operacje zmieniające stan systemu są logowane w niezmiennym rejestrze zdarzeń (append-only). Logi nie mogą być usunięte ani zmodyfikowane. Audit event zawiera: policy_hash + context_hash + context_snapshot (przy BLOCK/WARN, JSON &lt;32KB). Przy BLOCK/WARN pełny snapshot umożliwia odtworzenie powodu decyzji w sekundy. External Trust Anchor: daily Merkle root → RFC3161 TSA (eIDAS Qualified TSA, dowód uznawany przez sądy) + opcjonalnie public chain anchor (Bitcoin OP_RETURN / Ethereum calldata — globalny timestamp niezależny od instytucji). Public Transparency Log: codziennie publikowany daily_rating_log.json (lista rbom_hash opublikowanych ratingów). Każdy może sprawdzić czy rating istniał w danym dniu bez dostępu do systemu. System Integrity Check: Integrity Sentinel (oddzielny od workerów operacyjnych) codziennie weryfikuje: merkle_integrity + s3_objects + policy_hash + timestamp_chain. Publiczny daily_system_integrity_log buduje zaufanie rynkowe. Kopia na niezależnej infrastrukturze (S3 WORM, Governance Mode). Dostęp read-only dla audytorów i Izby Nadzoru. Pokrywa: ISO 27001 (Annex A), ISO 37301 (monitorowanie), §9 Statutu.</w:t>
      </w:r>
    </w:p>
    <w:p>
      <w:pPr>
        <w:pStyle w:val="Heading2"/>
      </w:pPr>
      <w:r>
        <w:t xml:space="preserve">5.4. Break-Glass Protocol</w:t>
      </w:r>
    </w:p>
    <w:p>
      <w:pPr>
        <w:spacing w:after="140"/>
      </w:pPr>
      <w:r>
        <w:rPr>
          <w:rFonts w:ascii="Arial" w:cs="Arial" w:eastAsia="Arial" w:hAnsi="Arial"/>
          <w:sz w:val="22"/>
          <w:szCs w:val="22"/>
        </w:rPr>
        <w:t xml:space="preserve">Wentyl awaryjny na wypadek zakleszczenia systemu. Aktywacja: IdP Step-Up Authentication (Entra ID / Okta / Keycloak + YubiKey). IdP zwraca JWT z acr=phr + break_glass=true + organ_id[]. Wymagane: count(signatures) &gt;= 2 AND count(DISTINCT organ_id) &gt;= 2 (jeden pion nie może sam autoryzować). OPA pozostaje sterylnie czysta: reguły NK nie wiedzą o Break-Glass. OPA ZAWSZE zwraca pełną listę violations[]. API klasyfikuje: omijalne (proceduralne: NK-005, NK-007, NK-011, NK-012) vs nieomijalne (NK-SCHEMA, NK-017 Methodology Lock, NK-018 Source Data Integrity). Break-Glass flag MUSI być częścią publicznego R-BOM ratingu (transparentność rynkowa wg ISO 37301 / IOSCO). Każde użycie logowane w Audit Ledger (nieusuwalne) + obowiązkowy post-mortem (72h). Drill: test AuthZ (bez uruchamiania logiki operacji, zero side-effects). Pokrywa: ISO 22301, ISO 27001 A.5.26, §12 ust. 4a.</w:t>
      </w:r>
    </w:p>
    <w:p>
      <w:pPr>
        <w:pStyle w:val="Heading2"/>
      </w:pPr>
      <w:r>
        <w:t xml:space="preserve">5.5. Infrastruktura jako kod</w:t>
      </w:r>
    </w:p>
    <w:p>
      <w:pPr>
        <w:spacing w:after="140"/>
      </w:pPr>
      <w:r>
        <w:rPr>
          <w:rFonts w:ascii="Arial" w:cs="Arial" w:eastAsia="Arial" w:hAnsi="Arial"/>
          <w:sz w:val="22"/>
          <w:szCs w:val="22"/>
        </w:rPr>
        <w:t xml:space="preserve">Infrastruktura (szyfrowanie, kontrola dostępu sieciowego, klucze kryptograficzne) zarządzana jako kod źródłowy — wersjonowana, przeglądana i zatwierdzana. Każda zmiana wymaga przeglądu przez dwie osoby. Pokrywa: ISO 27001 Annex A.8, NIS2.</w:t>
      </w:r>
    </w:p>
    <w:p>
      <w:pPr>
        <w:pStyle w:val="Heading2"/>
      </w:pPr>
      <w:r>
        <w:t xml:space="preserve">5.6. Policy CI/CD</w:t>
      </w:r>
    </w:p>
    <w:p>
      <w:pPr>
        <w:spacing w:after="140"/>
      </w:pPr>
      <w:r>
        <w:rPr>
          <w:rFonts w:ascii="Arial" w:cs="Arial" w:eastAsia="Arial" w:hAnsi="Arial"/>
          <w:sz w:val="22"/>
          <w:szCs w:val="22"/>
        </w:rPr>
        <w:t xml:space="preserve">Zmiany reguł Compliance Engine wdrażane w kontrolowanym procesie: zmiana → przegląd (min. 2 osoby) → test (Policy Assertion Suite + Database Branching: CI/CD klonuje bazę Copy-on-Write) → wdrożenie. OPA Bundle API z podpisami kryptograficznymi: CI/CD buduje bundle .tar.gz, podpisuje kluczem Fundacji, wrzuca na S3. Kontenery API pobierają automatycznie (bez restartu) i weryfikują sygnaturę przed załadowaniem. Prawo deployuje się niezależnie od kodu. Policy Pinning per case: sprawa przypinana do wersji polityk z momentu rozpoczęcia ewaluacji. Zmiana reguł w trakcie procesu nie wpływa na trwającą ewaluację (chyba że zmiana dotyczy prawa bezwzględnie obowiązującego). Każdy bundle zrzucany na S3 WORM z data_hash. Okno zmian: max raz na kwartał. Pokrywa: ISO 9001 (V&amp;V), ISO 37301 (monitoring), §13 ust. 12.</w:t>
      </w:r>
    </w:p>
    <w:p>
      <w:pPr>
        <w:spacing w:after="140"/>
      </w:pPr>
      <w:r>
        <w:rPr>
          <w:rFonts w:ascii="Arial" w:cs="Arial" w:eastAsia="Arial" w:hAnsi="Arial"/>
          <w:sz w:val="22"/>
          <w:szCs w:val="22"/>
        </w:rPr>
        <w:t xml:space="preserve">Reprodukowalność ratingu: każdy wydany rating zawiera Rating Bill of Materials (R-BOM) — kryptograficzny skrót (hash) precyzyjnie określający: wersję danych wejściowych, wersję silnika analitycznego, wersję reguł Compliance Engine oraz wersję modelu AI Delegata (jeśli brał udział). Całość podpisana cyfrowo. R-BOM gwarantuje odtwarzalność każdego ratingu z przeszłości. R-BOM zawiera normative_path[] (lista norm wykonanych przy decyzji) + supply_chain_verification (container_hash + opa_bundle_hash podpisane sigstore/cosign). PII w R-BOM szyfrowane DEK przed uploadem na WORM: Merkle tree haszuje ciphertext (nie plaintext). Po crypto-shreddingu: PII przepada (RODO), ale audytor waliduje integralność R-BOM. Evidence Package: rating_evidence_bundle (rbom.json + methodology_hash + policy_hash + timestamp_token + merkle_proof + normative_path[]) — pozwala zweryfikować rating offline. CLI tool certo verify rating_bundle.zip replikuje decyzję z artefaktów (Rating Time-Travel). Globalny identyfikator: CERTO-RATING-{ROK}-{KRAJ}-{NUMER}-{CHECKSUM}. W przypadku sporu lub odwołania do Trybunału (§14), R-BOM + Evidence Package stanowią matematyczny dowód.</w:t>
      </w:r>
    </w:p>
    <w:p>
      <w:pPr>
        <w:pStyle w:val="Heading2"/>
      </w:pPr>
      <w:r>
        <w:t xml:space="preserve">5.7. Wydajność</w:t>
      </w:r>
    </w:p>
    <w:p>
      <w:pPr>
        <w:spacing w:after="140"/>
      </w:pPr>
      <w:r>
        <w:rPr>
          <w:rFonts w:ascii="Arial" w:cs="Arial" w:eastAsia="Arial" w:hAnsi="Arial"/>
          <w:sz w:val="22"/>
          <w:szCs w:val="22"/>
        </w:rPr>
        <w:t xml:space="preserve">Architektura zapewnia wydajność umożliwiającą płynną pracę użytkowników. OPA WASM in-process: &lt;0.1ms per ewaluację. Evaluation Context: get_eval_context() → JSONB (&lt;10ms). Czas: Postgres transaction_timestamp() (nie API-provided). Zero Redis, zero CDC (Sprint 0). JWT TTL 15 min + Postgres suspended check (&lt;1ms). Token DPoP. Logowanie asynchroniczne. Szczegóły implementacyjne w Deliverable B (ADR).</w:t>
      </w:r>
    </w:p>
    <w:p>
      <w:pPr>
        <w:pStyle w:val="Heading2"/>
      </w:pPr>
      <w:r>
        <w:t xml:space="preserve">5.8. Architektura Delegata AI</w:t>
      </w:r>
    </w:p>
    <w:p>
      <w:pPr>
        <w:spacing w:after="40"/>
      </w:pPr>
      <w:r>
        <w:rPr>
          <w:rFonts w:ascii="Arial" w:cs="Arial" w:eastAsia="Arial" w:hAnsi="Arial"/>
          <w:b/>
          <w:bCs/>
          <w:color w:val="2D7D2D"/>
          <w:sz w:val="18"/>
          <w:szCs w:val="18"/>
        </w:rPr>
        <w:t xml:space="preserve">[Zmienione w v1.3: Risk-Based Approval zamiast MFA na wszystko]</w:t>
      </w:r>
    </w:p>
    <w:p>
      <w:pPr>
        <w:spacing w:after="140"/>
      </w:pPr>
      <w:r>
        <w:rPr>
          <w:rFonts w:ascii="Arial" w:cs="Arial" w:eastAsia="Arial" w:hAnsi="Arial"/>
          <w:sz w:val="22"/>
          <w:szCs w:val="22"/>
        </w:rPr>
        <w:t xml:space="preserve">Delegat AI działa nad Compliance Engine, nie obok niego. Każda akcja Delegata przechodzi przez Kernel. Delegat optymalizuje pracę i przygotowuje warianty, ale nigdy nie autoryzuje operacji zmieniających stan prawny podmiotu bez działania człowieka.</w:t>
      </w:r>
    </w:p>
    <w:p>
      <w:pPr>
        <w:pStyle w:val="Heading3"/>
      </w:pPr>
      <w:r>
        <w:t xml:space="preserve">5.8.1. Risk-Based Approval — poziomy zatwierdzania</w:t>
      </w:r>
    </w:p>
    <w:p>
      <w:pPr>
        <w:spacing w:after="140"/>
      </w:pPr>
      <w:r>
        <w:rPr>
          <w:rFonts w:ascii="Arial" w:cs="Arial" w:eastAsia="Arial" w:hAnsi="Arial"/>
          <w:sz w:val="22"/>
          <w:szCs w:val="22"/>
        </w:rPr>
        <w:t xml:space="preserve">Zmuszanie Mocodawcy do MFA przy każdym drafcie Delegata prowadzi do click fatigue. Zamiast tego: trzy stałe poziomy zatwierdzania, proporcjonalne do ryzyka. Przypisanie poziomu wynika z typu akcji zdefiniowanego w Compliance Engine. W wyjątkowych przypadkach Izba Nadzoru lub Przewodniczący organu może ręcznie podnieść wymagany poziom zatwierdzenia dla konkretnej sprawy (np. ze względu na wrażliwość sektora lub wagę konsekwencji).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0D0D0" w:sz="1"/>
              <w:left w:val="single" w:color="D0D0D0" w:sz="1"/>
              <w:bottom w:val="single" w:color="D0D0D0" w:sz="1"/>
              <w:right w:val="single" w:color="D0D0D0" w:sz="1"/>
            </w:tcBorders>
            <w:shd w:fill="3B6D11" w:val="clear"/>
            <w:tcMar>
              <w:top w:type="dxa" w:w="80"/>
              <w:left w:type="dxa" w:w="120"/>
              <w:bottom w:type="dxa" w:w="80"/>
              <w:right w:type="dxa" w:w="120"/>
            </w:tcMar>
          </w:tcPr>
          <w:p>
            <w:r>
              <w:rPr>
                <w:rFonts w:ascii="Arial" w:cs="Arial" w:eastAsia="Arial" w:hAnsi="Arial"/>
                <w:b/>
                <w:bCs/>
                <w:color w:val="FFFFFF"/>
                <w:sz w:val="19"/>
                <w:szCs w:val="19"/>
              </w:rPr>
              <w:t xml:space="preserve">Poziom</w:t>
            </w:r>
          </w:p>
        </w:tc>
        <w:tc>
          <w:tcPr>
            <w:tcW w:type="dxa" w:w="3200"/>
            <w:tcBorders>
              <w:top w:val="single" w:color="D0D0D0" w:sz="1"/>
              <w:left w:val="single" w:color="D0D0D0" w:sz="1"/>
              <w:bottom w:val="single" w:color="D0D0D0" w:sz="1"/>
              <w:right w:val="single" w:color="D0D0D0" w:sz="1"/>
            </w:tcBorders>
            <w:shd w:fill="3B6D11" w:val="clear"/>
            <w:tcMar>
              <w:top w:type="dxa" w:w="80"/>
              <w:left w:type="dxa" w:w="120"/>
              <w:bottom w:type="dxa" w:w="80"/>
              <w:right w:type="dxa" w:w="120"/>
            </w:tcMar>
          </w:tcPr>
          <w:p>
            <w:r>
              <w:rPr>
                <w:rFonts w:ascii="Arial" w:cs="Arial" w:eastAsia="Arial" w:hAnsi="Arial"/>
                <w:b/>
                <w:bCs/>
                <w:color w:val="FFFFFF"/>
                <w:sz w:val="19"/>
                <w:szCs w:val="19"/>
              </w:rPr>
              <w:t xml:space="preserve">Zakres</w:t>
            </w:r>
          </w:p>
        </w:tc>
        <w:tc>
          <w:tcPr>
            <w:tcW w:type="dxa" w:w="3626"/>
            <w:tcBorders>
              <w:top w:val="single" w:color="D0D0D0" w:sz="1"/>
              <w:left w:val="single" w:color="D0D0D0" w:sz="1"/>
              <w:bottom w:val="single" w:color="D0D0D0" w:sz="1"/>
              <w:right w:val="single" w:color="D0D0D0" w:sz="1"/>
            </w:tcBorders>
            <w:shd w:fill="3B6D11" w:val="clear"/>
            <w:tcMar>
              <w:top w:type="dxa" w:w="80"/>
              <w:left w:type="dxa" w:w="120"/>
              <w:bottom w:type="dxa" w:w="80"/>
              <w:right w:type="dxa" w:w="120"/>
            </w:tcMar>
          </w:tcPr>
          <w:p>
            <w:r>
              <w:rPr>
                <w:rFonts w:ascii="Arial" w:cs="Arial" w:eastAsia="Arial" w:hAnsi="Arial"/>
                <w:b/>
                <w:bCs/>
                <w:color w:val="FFFFFF"/>
                <w:sz w:val="19"/>
                <w:szCs w:val="19"/>
              </w:rPr>
              <w:t xml:space="preserve">Zatwierdzenie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Low-risk</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Czynności administracyjne (drafty, podsumowania, notatki)</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Pojedyncze kliknięcie. Log w Audit Ledger.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Medium-risk</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Operacje procesowe (dane ewaluacyjne, przypisania, opinie)</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Zatwierdzenie z podglądem. Spot-check losowy. Log + powiadomienie.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High-risk</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Decyzje strategiczne (rating, metodologia, publikacja)</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MFA + Maker-Checker. Pełny audit trail z uzasadnieniem.</w:t>
            </w:r>
          </w:p>
        </w:tc>
      </w:tr>
    </w:tbl>
    <w:p>
      <w:pPr>
        <w:pStyle w:val="Heading3"/>
      </w:pPr>
      <w:r>
        <w:t xml:space="preserve">5.8.2. Zasady działania Delegata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Draft-only writes</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Delegat zapisuje wyłącznie propozycje (drafty). Zatwierdzenie wymaga działania człowieka na odpowiednim poziomie ryzyka (sekcja 5.8.1).</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Mandat Systemowy</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Zakres działania Delegata określony w Compliance Engine. Delegat nie może go nadpisać. AI Act art. 50 (identyfikacja AI).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Izolacja danych</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Zero Data Retention u dostawcy LLM. Dane nie są wykorzystywane do trenowania modeli.</w:t>
            </w:r>
          </w:p>
        </w:tc>
      </w:tr>
    </w:tbl>
    <w:p>
      <w:r>
        <w:br w:type="page"/>
      </w:r>
    </w:p>
    <w:p>
      <w:pPr>
        <w:pStyle w:val="Heading2"/>
      </w:pPr>
      <w:r>
        <w:t xml:space="preserve">5.9. Wspomagana egzekucja uchwał</w:t>
      </w:r>
    </w:p>
    <w:p>
      <w:pPr>
        <w:spacing w:after="140"/>
      </w:pPr>
      <w:r>
        <w:rPr>
          <w:rFonts w:ascii="Arial" w:cs="Arial" w:eastAsia="Arial" w:hAnsi="Arial"/>
          <w:sz w:val="22"/>
          <w:szCs w:val="22"/>
        </w:rPr>
        <w:t xml:space="preserve">Po osiągnięciu kworum i zebraniu podpisów system generuje protokół głosowania. Przewodniczący organu podpisuje protokół — dopiero po podpisie system wykonuje zmianę stanu (publikacja, aktywacja, zmiana statusu). Uchwały o istotnym wpływie (zmiana metodologii) mają cooling period przed egzekucją (szczegóły w regulaminie). Uchwały wymagające wpisu KRS: system generuje dokumenty do PRS, status „oczekiwanie na rejestrację”. Decyzję zawsze podejmuje organ — system ją egzekwuje. Każda uchwała logowana w Audit Ledger z protokołem. Pokrywa: ISO 9001, ISO 37301, §20–21 Statutu.</w:t>
      </w:r>
    </w:p>
    <w:p>
      <w:pPr>
        <w:pStyle w:val="Heading2"/>
      </w:pPr>
      <w:r>
        <w:t xml:space="preserve">5.9a. Korekta ratingu (Rating Revision)</w:t>
      </w:r>
    </w:p>
    <w:p>
      <w:pPr>
        <w:spacing w:after="140"/>
      </w:pPr>
      <w:r>
        <w:rPr>
          <w:rFonts w:ascii="Arial" w:cs="Arial" w:eastAsia="Arial" w:hAnsi="Arial"/>
          <w:sz w:val="22"/>
          <w:szCs w:val="22"/>
        </w:rPr>
        <w:t xml:space="preserve">Rating opublikowany w systemie Certo nie podlega modyfikacji. Nowe informacje (zatajony konflikt, korekta sprawozdań, wyrok sądu) skutkują publikacją nowej decyzji kryptograficznie powiązanej z pierwotną (supersedes_rating_id + supersedes_rbom_hash). NK-021 Evidence Materiality: dowód niematerialny → ADDENDUM (aneks), nie pełna korekta. NK-005 Wzmocniony: Checker = Izba/Kolegium. Stary rating → SUPERSEDED (nigdy kasowany). Transparency Log: rating_revision_event. Typy: REVISION_NEW_EVIDENCE, DATA_ERROR, METHOD_ERROR, FRAUD_DISCOVERY, REGULATORY_ORDER. Pokrywa: ISO 37301 (transparent correction), IOSCO (rating revision transparency).</w:t>
      </w:r>
    </w:p>
    <w:p>
      <w:pPr>
        <w:pStyle w:val="Heading2"/>
      </w:pPr>
      <w:r>
        <w:t xml:space="preserve">5.10. Zewnętrzne kotwiczenie integralności</w:t>
      </w:r>
    </w:p>
    <w:p>
      <w:pPr>
        <w:spacing w:after="140"/>
      </w:pPr>
      <w:r>
        <w:rPr>
          <w:rFonts w:ascii="Arial" w:cs="Arial" w:eastAsia="Arial" w:hAnsi="Arial"/>
          <w:sz w:val="22"/>
          <w:szCs w:val="22"/>
        </w:rPr>
        <w:t xml:space="preserve">Rejestr zdarzeń (sekcja 5.3) chroni przed manipulacją wewnątrz systemu. Zewnętrzne kotwiczenie eliminuje ryzyko manipulacji przez uprzywilejowanego administratora. Mechanizm: External Trust Anchor — daily Merkle root (hash audit_events z danego dnia) wysyłany do: (1) RFC3161 TSA / eIDAS Qualified TSA (standard europejski, dowód uznawany przez sądy), (2) opcjonalnie: public chain anchor (Bitcoin OP_RETURN / Ethereum calldata — globalny timestamp niezależny od instytucji). Timestamp_token zapisywany w audit_day_roots. Weryfikacja po latach: audytor pobiera audit_events + Merkle root + timestamp_token. Jeśli hash(events) = Merkle root i TSA potwierdza datę — integralność kryptograficznie udowodniona. Żaden punkt infrastruktury Certo nie musiał być zaufany. Pieczęć eIDAS: podpis odłączony (detached signature) obok R-BOM na S3 WORM. Faza 2: dual-region S3 WORM replication (ochrona przed awarią regionu / konfliktem jurysdykcyjnym). Pokrywa: ISO 27001, ISO 37301, §8 ust. 8, §14.</w:t>
      </w:r>
    </w:p>
    <w:p>
      <w:pPr>
        <w:pStyle w:val="Heading2"/>
      </w:pPr>
      <w:r>
        <w:t xml:space="preserve">5.11. Data Provenance Gates — bramki integralności wejścia</w:t>
      </w:r>
    </w:p>
    <w:p>
      <w:pPr>
        <w:spacing w:after="40"/>
      </w:pPr>
      <w:r>
        <w:rPr>
          <w:rFonts w:ascii="Arial" w:cs="Arial" w:eastAsia="Arial" w:hAnsi="Arial"/>
          <w:b/>
          <w:bCs/>
          <w:color w:val="2D7D2D"/>
          <w:sz w:val="18"/>
          <w:szCs w:val="18"/>
        </w:rPr>
        <w:t xml:space="preserve">[Nowe w v1.5]</w:t>
      </w:r>
    </w:p>
    <w:p>
      <w:pPr>
        <w:spacing w:after="140"/>
      </w:pPr>
      <w:r>
        <w:rPr>
          <w:rFonts w:ascii="Arial" w:cs="Arial" w:eastAsia="Arial" w:hAnsi="Arial"/>
          <w:sz w:val="22"/>
          <w:szCs w:val="22"/>
        </w:rPr>
        <w:t xml:space="preserve">Compliance Engine chroni proces wewnątrz. Ale co jeśli „śmieci” wejdą na start? Zmanipulowany raport ze spółki, wygenerowany przez AI fałszywy protokół kontroli JST, podrobiony dokument KRS. Garbage In = Garbage Out, nawet przy doskonale działającym Kernelu. Data Provenance Gates eliminują ten wektor.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Bramka 1: Podpis</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Weryfikacja podpisów elektronicznych eIDAS. Dokument podpisany = Verified. Pojedynczy plik może być podpisany bezpośrednio. Przy większych paczkach: Data Trust Envelope — podmiot wgrywa pliki, system liczy hash paczki, podmiot podpisuje jedną Kopertę przez profil zaufany = cała paczka Verified.</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Bramka 2: API publiczne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Automatyczne porównanie danych z rejestrów publicznych: eKRS (dane rejestrowe), GUS BDL (statystyki), BeSTi@ (finanse JST). Rozbieżność = alert + flaga w Audit Trail.</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Weryfikacja ręczna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Dokumenty bez podpisu eIDAS i bez potwierdzenia w rejestrach publicznych podlegają weryfikacji ręcznej przez ewaluatora przed dopuszczeniem do ewaluacji.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Skutek</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System oznacza wiarygodność źródłową dokumentu: Verified (podpis eIDAS, rejestr publiczny lub Data Trust Envelope) / Declared (oświadczenie podmiotu bez podpisu) / do weryfikacji ręcznej (brak jakiejkolwiek deklaracji). Losowa weryfikacja 5–10% dokumentów Verified (sampling) chroni przed fałszywymi podpisami i błędami integracji API.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Normy</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ISO 9001 (input verification), ISO 27001 (data integrity), §8 ust. 2 (informowanie podmiotu), §8 ust. 20d (Test Odwrócenia — dane muszą być weryfikowalne).</w:t>
            </w:r>
          </w:p>
        </w:tc>
      </w:tr>
    </w:tbl>
    <w:p>
      <w:pPr>
        <w:pStyle w:val="Heading2"/>
      </w:pPr>
      <w:r>
        <w:t xml:space="preserve">5.12. Compliance UX — bezfrontowe zaangażowanie uczestników</w:t>
      </w:r>
    </w:p>
    <w:p>
      <w:pPr>
        <w:spacing w:after="40"/>
      </w:pPr>
      <w:r>
        <w:rPr>
          <w:rFonts w:ascii="Arial" w:cs="Arial" w:eastAsia="Arial" w:hAnsi="Arial"/>
          <w:b/>
          <w:bCs/>
          <w:color w:val="2D7D2D"/>
          <w:sz w:val="18"/>
          <w:szCs w:val="18"/>
        </w:rPr>
        <w:t xml:space="preserve">[Nowe w v2.1]</w:t>
      </w:r>
    </w:p>
    <w:p>
      <w:pPr>
        <w:spacing w:after="140"/>
      </w:pPr>
      <w:r>
        <w:rPr>
          <w:rFonts w:ascii="Arial" w:cs="Arial" w:eastAsia="Arial" w:hAnsi="Arial"/>
          <w:sz w:val="22"/>
          <w:szCs w:val="22"/>
        </w:rPr>
        <w:t xml:space="preserve">Architektura wysokiego bezpieczeństwa (Zero-Trust, Hard Gates, Compliance Engine) nie może obciążać użytkowników końcowych nadmierną złożonością operacyjną. System, który jest dla użytkowników wyłącznie „ścianą zakazów”, prowadzi do spadku zaangażowania, szukania obejść i paraliżu operacyjnego. Serwis Certo Online wdraża paradygmat Frictionless Compliance — zgodność z normami jest naturalną częścią ścieżki użytkownika, nie przeszkodą.</w:t>
      </w:r>
    </w:p>
    <w:p>
      <w:pPr>
        <w:pStyle w:val="Heading3"/>
      </w:pPr>
      <w:r>
        <w:t xml:space="preserve">5.12.1. Actionable Hard Gates</w:t>
      </w:r>
    </w:p>
    <w:p>
      <w:pPr>
        <w:spacing w:after="140"/>
      </w:pPr>
      <w:r>
        <w:rPr>
          <w:rFonts w:ascii="Arial" w:cs="Arial" w:eastAsia="Arial" w:hAnsi="Arial"/>
          <w:sz w:val="22"/>
          <w:szCs w:val="22"/>
        </w:rPr>
        <w:t xml:space="preserve">Każda blokada normowa w interfejsie zawiera mechanizm natychmiastowego rozwiązania w jednym kroku. Jeśli system blokuje przycisk „Głosuj” z powodu braku oświadczenia, pod przyciskiem pojawia się opcja podpisania oświadczenia od razu. Compliance staje się częścią naturalnego flow pracy.</w:t>
      </w:r>
    </w:p>
    <w:p>
      <w:pPr>
        <w:pStyle w:val="Heading3"/>
      </w:pPr>
      <w:r>
        <w:t xml:space="preserve">5.12.2. Pulpit użytkownika</w:t>
      </w:r>
    </w:p>
    <w:p>
      <w:pPr>
        <w:spacing w:after="140"/>
      </w:pPr>
      <w:r>
        <w:rPr>
          <w:rFonts w:ascii="Arial" w:cs="Arial" w:eastAsia="Arial" w:hAnsi="Arial"/>
          <w:sz w:val="22"/>
          <w:szCs w:val="22"/>
        </w:rPr>
        <w:t xml:space="preserve">Każdy użytkownik widzi personalny pulpit gotowości: listę zadań do wykonania, status zgodności (oświadczenia, szkolenia, konflikty) i ewentualne blokady z wyjaśnieniem. Ewaluator: „Gotowy do przypisania.” Zarząd: „Kworum: 4/5. Gotowi do głosowania.” Delegat AI wspiera pulpit jako asystent administracyjny — monitoruje terminy i formalności, prezentuje je w formie listy zadań, nie sugeruje ocen merytorycznych. Interfejs: lista zadań z 1-click approve.</w:t>
      </w:r>
    </w:p>
    <w:p>
      <w:pPr>
        <w:pStyle w:val="Heading3"/>
      </w:pPr>
      <w:r>
        <w:t xml:space="preserve">5.12.3. Wsparcie analizy dokumentów</w:t>
      </w:r>
    </w:p>
    <w:p>
      <w:pPr>
        <w:spacing w:after="140"/>
      </w:pPr>
      <w:r>
        <w:rPr>
          <w:rFonts w:ascii="Arial" w:cs="Arial" w:eastAsia="Arial" w:hAnsi="Arial"/>
          <w:sz w:val="22"/>
          <w:szCs w:val="22"/>
        </w:rPr>
        <w:t xml:space="preserve">System może wskazać potencjalne odchylenia od standardu w dokumentach ewaluacyjnych (braki, wygasłe dokumenty, rozbieżności). Członek organu zawsze widzi pełny dokument — oznaczenia mają charakter pomocniczy, nie filtrujący. Co najmniej 1 na 10 ratingów bez oznaczeń (losowy pełny przegląd). Logowane w R-BOM.</w:t>
      </w:r>
    </w:p>
    <w:p>
      <w:pPr>
        <w:pStyle w:val="Heading3"/>
      </w:pPr>
      <w:r>
        <w:t xml:space="preserve">5.12.4. Głosowania asynchroniczne</w:t>
      </w:r>
    </w:p>
    <w:p>
      <w:pPr>
        <w:spacing w:after="140"/>
      </w:pPr>
      <w:r>
        <w:rPr>
          <w:rFonts w:ascii="Arial" w:cs="Arial" w:eastAsia="Arial" w:hAnsi="Arial"/>
          <w:sz w:val="22"/>
          <w:szCs w:val="22"/>
        </w:rPr>
        <w:t xml:space="preserve">Dla spraw czysto proceduralnych (zatwierdzenie raportu, opinia formalna) system umożliwia głosowanie asynchroniczne w oknie 48–72h. Kluczowa zasada: jeśli choć 1 członek zażąda debaty, sprawa automatycznie przechodzi do trybu synchronicznego. Sprawy strategiczne (zmiana metodologii, powołania, skargi) obowiązkowo synchroniczne. Każde głosowanie generuje protokół z podpisem Przewodniczącego. Głosowanie asynchroniczne dotyczy wyłącznie wewnętrznych procedur Fundacji (§21, §23).</w:t>
      </w:r>
    </w:p>
    <w:p>
      <w:pPr>
        <w:pStyle w:val="Heading3"/>
      </w:pPr>
      <w:r>
        <w:t xml:space="preserve">5.12.5. Roadmap (zaawansowane mechanizmy)</w:t>
      </w:r>
    </w:p>
    <w:p>
      <w:pPr>
        <w:spacing w:after="40"/>
      </w:pPr>
      <w:r>
        <w:rPr>
          <w:rFonts w:ascii="Arial" w:cs="Arial" w:eastAsia="Arial" w:hAnsi="Arial"/>
          <w:b/>
          <w:bCs/>
          <w:color w:val="2D7D2D"/>
          <w:sz w:val="18"/>
          <w:szCs w:val="18"/>
        </w:rPr>
        <w:t xml:space="preserve">[Nowe w v2.1]</w:t>
      </w:r>
    </w:p>
    <w:p>
      <w:pPr>
        <w:spacing w:after="140"/>
      </w:pPr>
      <w:r>
        <w:rPr>
          <w:rFonts w:ascii="Arial" w:cs="Arial" w:eastAsia="Arial" w:hAnsi="Arial"/>
          <w:sz w:val="22"/>
          <w:szCs w:val="22"/>
        </w:rPr>
        <w:t xml:space="preserve">Następujące mechanizmy wykraczają poza zakres Sprint 0 i są planowane do implementacji w Sprintach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0F6E56" w:val="clear"/>
            <w:tcMar>
              <w:top w:type="dxa" w:w="80"/>
              <w:left w:type="dxa" w:w="120"/>
              <w:bottom w:type="dxa" w:w="80"/>
              <w:right w:type="dxa" w:w="120"/>
            </w:tcMar>
          </w:tcPr>
          <w:p>
            <w:r>
              <w:rPr>
                <w:rFonts w:ascii="Arial" w:cs="Arial" w:eastAsia="Arial" w:hAnsi="Arial"/>
                <w:b/>
                <w:bCs/>
                <w:color w:val="FFFFFF"/>
                <w:sz w:val="19"/>
                <w:szCs w:val="19"/>
              </w:rPr>
              <w:t xml:space="preserve">Mechanizm</w:t>
            </w:r>
          </w:p>
        </w:tc>
        <w:tc>
          <w:tcPr>
            <w:tcW w:type="dxa" w:w="6426"/>
            <w:tcBorders>
              <w:top w:val="single" w:color="D0D0D0" w:sz="1"/>
              <w:left w:val="single" w:color="D0D0D0" w:sz="1"/>
              <w:bottom w:val="single" w:color="D0D0D0" w:sz="1"/>
              <w:right w:val="single" w:color="D0D0D0" w:sz="1"/>
            </w:tcBorders>
            <w:shd w:fill="0F6E56"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Rozszerzenia Delegata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Dalszy rozwój asystenta administracyjnego w zakresie automatyzacji czynności biurowych. Reguły Compliance Engine tworzone i wdrażane wyłącznie przez zespół techniczny.</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D2D / M2M API</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Delegate-to-Delegate data gathering. Spółka oceniana uruchamia własnego bota/RPA. Delegat Certo wysyła zapytanie API: „Podaj wyciąg ze statutu z podpisem kwalifikowanym + wskaźniki zarządcze z 3 kwartałów w JSON.” Data Provenance Gates weryfikują automatycznie. Wymiana danych w 12 sekund zamiast dni. Frictionless Onboarding dla korporacji z zaawansowanym IT.</w:t>
            </w:r>
          </w:p>
        </w:tc>
      </w:tr>
    </w:tbl>
    <w:p>
      <w:r>
        <w:br w:type="page"/>
      </w:r>
    </w:p>
    <w:p>
      <w:pPr>
        <w:pStyle w:val="Heading1"/>
      </w:pPr>
      <w:r>
        <w:t xml:space="preserve">6. Harmonogram wdrożenia</w:t>
      </w:r>
    </w:p>
    <w:p>
      <w:pPr>
        <w:spacing w:after="40"/>
      </w:pPr>
      <w:r>
        <w:rPr>
          <w:rFonts w:ascii="Arial" w:cs="Arial" w:eastAsia="Arial" w:hAnsi="Arial"/>
          <w:b/>
          <w:bCs/>
          <w:color w:val="2D7D2D"/>
          <w:sz w:val="18"/>
          <w:szCs w:val="18"/>
        </w:rPr>
        <w:t xml:space="preserve">[Zmienione w v1.3: „Compliance Ready” zamiast „Certified” w Fazie 1]</w:t>
      </w:r>
    </w:p>
    <w:p>
      <w:pPr>
        <w:spacing w:after="140"/>
      </w:pPr>
      <w:r>
        <w:rPr>
          <w:rFonts w:ascii="Arial" w:cs="Arial" w:eastAsia="Arial" w:hAnsi="Arial"/>
          <w:sz w:val="22"/>
          <w:szCs w:val="22"/>
        </w:rPr>
        <w:t xml:space="preserve">Uwaga dotycząca certyfikacji ISO: żaden akredytowany audytor (TÜV, BSI, DNV) nie wyda certyfikatu dla systemu bez minimum 3–6 miesięcy dowodów działania (records — incydenty, przeglądy, audyty wewnętrzne). Dlatego Faza 1 kończy się stanem „Compliance Ready” (pełna zgodność operacyjna, audyt wewnętrzny przeprowadzony), a formalna certyfikacja zewnętrzna następuje w trakcie pierwszego roku działalności, między Fazą 1 a 2.</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D0D0D0" w:sz="1"/>
              <w:left w:val="single" w:color="D0D0D0" w:sz="1"/>
              <w:bottom w:val="single" w:color="D0D0D0" w:sz="1"/>
              <w:right w:val="single" w:color="D0D0D0" w:sz="1"/>
            </w:tcBorders>
            <w:shd w:fill="3A3A3A" w:val="clear"/>
            <w:tcMar>
              <w:top w:type="dxa" w:w="80"/>
              <w:left w:type="dxa" w:w="120"/>
              <w:bottom w:type="dxa" w:w="80"/>
              <w:right w:type="dxa" w:w="120"/>
            </w:tcMar>
          </w:tcPr>
          <w:p>
            <w:r>
              <w:rPr>
                <w:rFonts w:ascii="Arial" w:cs="Arial" w:eastAsia="Arial" w:hAnsi="Arial"/>
                <w:b/>
                <w:bCs/>
                <w:color w:val="FFFFFF"/>
                <w:sz w:val="22"/>
                <w:szCs w:val="22"/>
              </w:rPr>
              <w:t xml:space="preserve">FAZA 0  </w:t>
            </w:r>
            <w:r>
              <w:rPr>
                <w:rFonts w:ascii="Arial" w:cs="Arial" w:eastAsia="Arial" w:hAnsi="Arial"/>
                <w:color w:val="FFFFFF"/>
                <w:sz w:val="20"/>
                <w:szCs w:val="20"/>
              </w:rPr>
              <w:t xml:space="preserve">Tydz. 1–4: Fundamenty (przed rejestracją KRS)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Policy Registry</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Ekstrakcja reguł Statut v17 + normy ISO → format maszynowy. Min. 70 reguł.</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Compliance Engine MVP</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Role Gate + Conflict Checker + Audit Ledger + Maker-Checker + Click-wrap.</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IaC baseline</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Infrastruktura jako kod (IaC) — EU cloud, KMS, VPC, szyfrowanie. Drift detection.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Performance baseline</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Warstwa cache. Token sesyjny z uprawnieniami. Asynchroniczne logowanie.</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FAZA 1  </w:t>
            </w:r>
            <w:r>
              <w:rPr>
                <w:rFonts w:ascii="Arial" w:cs="Arial" w:eastAsia="Arial" w:hAnsi="Arial"/>
                <w:color w:val="FFFFFF"/>
                <w:sz w:val="20"/>
                <w:szCs w:val="20"/>
              </w:rPr>
              <w:t xml:space="preserve">Tydz. 5–14: Compliance Ready + pierwszy rating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Data + Process</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RBAC (integracja z Compliance Engine). Tenant isolation. Separacja analityczna. Chambers MVP z Smart Resolutions + Eval skeleton z Data Provenance Gates.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UX + Compliance UX</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Actionable Hard Gates. Asystent administracyjny (lista zadań). Readiness Dashboards. Async Voting.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IMS Compliance Ready</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Pełna zgodność operacyjna: 9001 + 27001 (Spółka), 37001 + 37301 (Fundacja). Audyt wewnętrzny przeprowadzony. Formalna certyfikacja: wniosek złożony, audyt Stage 1 zaplanowany.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Peer review + IOSCO</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Pierwszy peer review Certo Score. Deklaracja IOSCO opublikowana.</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Certyfikacja formalna</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Rozpoczyna się w trakcie Fazy 1 (audyt Stage 1), kończy się między Fazą 1 a 2 (audyt Stage 2 po zgromadzeniu 3–6 mies. records).</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D0D0D0" w:sz="1"/>
              <w:left w:val="single" w:color="D0D0D0" w:sz="1"/>
              <w:bottom w:val="single" w:color="D0D0D0" w:sz="1"/>
              <w:right w:val="single" w:color="D0D0D0"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FAZA 2  </w:t>
            </w:r>
            <w:r>
              <w:rPr>
                <w:rFonts w:ascii="Arial" w:cs="Arial" w:eastAsia="Arial" w:hAnsi="Arial"/>
                <w:color w:val="FFFFFF"/>
                <w:sz w:val="20"/>
                <w:szCs w:val="20"/>
              </w:rPr>
              <w:t xml:space="preserve">Tydz. 15–22: Ekspansja sektorowa</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Delegate MVP</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Mandat Systemowy w Compliance Engine. Risk-Based Approval (3 poziomy). Draft-only writes.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Certyfikacje sektorowe</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ISO 27701 + ISO 42001 (Spółka). Polityka AI (Fundacja).</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Kotwiczenie integralności</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Codzienne znakowanie eIDAS. Trust Badge + QR.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Peer review healthcare</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Kalibracja sektorowa Healthcare.</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gridSpan w:val="2"/>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FAZA 3  </w:t>
            </w:r>
            <w:r>
              <w:rPr>
                <w:rFonts w:ascii="Arial" w:cs="Arial" w:eastAsia="Arial" w:hAnsi="Arial"/>
                <w:color w:val="FFFFFF"/>
                <w:sz w:val="20"/>
                <w:szCs w:val="20"/>
              </w:rPr>
              <w:t xml:space="preserve">Tydz. 23+: Infrastruktura zaawansowana</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Certyfikacje</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ISO 27017/27018 (cloud). ISO 22301 (continuity). Certyfikat ABW (jeśli tak).</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Peer review defense</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Kalibracja sektorowa Defense.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SOC 2 Type II</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Opcjonalnie — rynek międzynarodowy.</w:t>
            </w:r>
          </w:p>
        </w:tc>
      </w:tr>
    </w:tbl>
    <w:p>
      <w:r>
        <w:br w:type="page"/>
      </w:r>
    </w:p>
    <w:p>
      <w:pPr>
        <w:pStyle w:val="Heading1"/>
      </w:pPr>
      <w:r>
        <w:t xml:space="preserve">7. Podsumowanie portfolio norm</w:t>
      </w:r>
    </w:p>
    <w:p>
      <w:pPr>
        <w:pStyle w:val="Heading2"/>
      </w:pPr>
      <w:r>
        <w:t xml:space="preserve">7.1. Fundacja CGI — tarcza instytucjonalna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Norma</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Co komunikuje rynkowi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9001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„Działamy mierzalnie i systematycznie”</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37001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„Rating nie jest na sprzedaż”</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37301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„Mamy porządek, który oceniamy u innych”</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Peer review + IOSCO</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„Nasza metodologia jest rzetelna i poddajemy ją weryfikacji”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Polityka AI</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„Kontrolujemy AI zgodnie z EU AI Act”</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Certyfikat ABW (opcj.)</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„Możemy operować w reżimie informacji niejawnych”</w:t>
            </w:r>
          </w:p>
        </w:tc>
      </w:tr>
    </w:tbl>
    <w:p>
      <w:pPr>
        <w:pStyle w:val="Heading2"/>
      </w:pPr>
      <w:r>
        <w:t xml:space="preserve">7.2. Spółka Certo ID — tarcza technologiczna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Norma</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Co komunikuje rynkowi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9001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„Platforma budowana w sposób kontrolowany”</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27001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„Chronimy dane, także w łańcuchu NIS2/DORA”</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27701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„Rozumiemy RODO art. 9 i EHDS”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27017/18</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„Nasz SaaS spełnia standardy cloud security”</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42001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„Zarządzamy AI odpowiedzialnie, zgodnie z AI Act”</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ISO 22301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„Działamy nawet w kryzysie”</w:t>
            </w:r>
          </w:p>
        </w:tc>
      </w:tr>
    </w:tbl>
    <w:p>
      <w:pPr>
        <w:pStyle w:val="Heading2"/>
      </w:pPr>
      <w:r>
        <w:t xml:space="preserve">7.3. Architektura — tarcza systemowa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Co komunikuje rynkowi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Compliance Engine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„Każda akcja systemowa przechodzi przez warstwę walidacyjną”</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Smart Resolutions</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„Uchwała = protokół + podpis + egzekucja”</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Break-Glass (M-of-N)</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„Wentyl awaryjny bez SPOF, z alertem poza systemem”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Kotwiczenie eIDAS</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„Rating z kryptograficznym dowodem integralności i czasu powstania (eIDAS)”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Data Provenance Gates</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„System minimalizuje ryzyko wykorzystania niewiarygodnych danych”</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Policy CI/CD</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„Zmiana prawa testowana w staging przed wdrożeniem”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R-BOM</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„Każdy rating odtwarzalny w sądzie za 10 lat”</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Risk-Based Approval</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„Trzy stałe poziomy zatwierdzania, proporcjonalne do ryzyka”</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Wydajność + bezpieczeństwo sesji</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„Architektura zapewnia płynną pracę użytkowników. Sesja powiązana z urządzeniem.”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Immutable Audit Ledger</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„Każda akcja nagrana, żadna nieusuwalna”</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Compliance UX</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„Bezpieczeństwo bez frustracji — Hard Gates, dashboards, async voting”</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Async Voting</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„Sprawy proceduralne głosowane asynchronicznie, z prawem do debaty”</w:t>
            </w:r>
          </w:p>
        </w:tc>
      </w:tr>
    </w:tbl>
    <w:p>
      <w:r>
        <w:br w:type="page"/>
      </w:r>
    </w:p>
    <w:p>
      <w:pPr>
        <w:pStyle w:val="Heading1"/>
      </w:pPr>
      <w:r>
        <w:t xml:space="preserve">8. Governance dokumentu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Status</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Wersja 2.1 finalna (po 21 recenzjach). Zamknięta. Gotowa do Sprint 0.</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Recenzje</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I–IX: normy, architektura, bezpieczeństwo, UX, MVP, implementacja. X–XI: instytucjonalna. XII: polerowanie. XIII: optymalizacja złożoności. Szczegóły w Historii wersji.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Przegląd</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Pełny przegląd: nie rzadziej niż co 2 lata, równolegle z Polityką AI (§8 ust. 20e) i przeglądem metodologii (§13 ust. 12). Drobne korekty (bez zmiany architektury): okno co 12 miesięcy.</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Publikacja</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Strona internetowa Fundacji po zatwierdzeniu przez Zarząd.</w:t>
            </w:r>
          </w:p>
        </w:tc>
      </w:tr>
    </w:tbl>
    <w:p>
      <w:r>
        <w:br w:type="page"/>
      </w:r>
    </w:p>
    <w:p>
      <w:pPr>
        <w:pStyle w:val="Heading1"/>
      </w:pPr>
      <w:r>
        <w:t xml:space="preserve">9. Następne kroki</w:t>
      </w:r>
    </w:p>
    <w:p>
      <w:pPr>
        <w:spacing w:after="140"/>
      </w:pPr>
      <w:r>
        <w:rPr>
          <w:rFonts w:ascii="Arial" w:cs="Arial" w:eastAsia="Arial" w:hAnsi="Arial"/>
          <w:sz w:val="22"/>
          <w:szCs w:val="22"/>
        </w:rPr>
        <w:t xml:space="preserve">Po zatwierdzeniu niniejszego dokumentu przez Zarząd, następują trzy równoległe deliverables stanowiące Sprint 0 planu implementacji:</w:t>
      </w:r>
    </w:p>
    <w:p>
      <w:pPr>
        <w:pStyle w:val="Heading2"/>
      </w:pPr>
      <w:r>
        <w:t xml:space="preserve">9.1. Deliverable A: Rejestr reguł (Policy Registry)</w:t>
      </w:r>
    </w:p>
    <w:p>
      <w:pPr>
        <w:spacing w:after="140"/>
      </w:pPr>
      <w:r>
        <w:rPr>
          <w:rFonts w:ascii="Arial" w:cs="Arial" w:eastAsia="Arial" w:hAnsi="Arial"/>
          <w:sz w:val="22"/>
          <w:szCs w:val="22"/>
        </w:rPr>
        <w:t xml:space="preserve">Rejestr kluczowych reguł wyekstrahowanych ze Statutu v17 i norm ISO. Każda reguła zawiera: identyfikator, źródło prawne, warunek aktywacji, wymagane działanie i poziom zatwierdzenia. Zakres MVP: 14 reguł core Sprint 0 (Załącznik A, tabela A2). Odpowiada: Fundacja (merytoryka) + Spółka (implementacja).</w:t>
      </w:r>
    </w:p>
    <w:p>
      <w:pPr>
        <w:pStyle w:val="Heading2"/>
      </w:pPr>
      <w:r>
        <w:t xml:space="preserve">9.2. Deliverable B: Specyfikacja techniczna Compliance Engine</w:t>
      </w:r>
    </w:p>
    <w:p>
      <w:pPr>
        <w:spacing w:after="140"/>
      </w:pPr>
      <w:r>
        <w:rPr>
          <w:rFonts w:ascii="Arial" w:cs="Arial" w:eastAsia="Arial" w:hAnsi="Arial"/>
          <w:sz w:val="22"/>
          <w:szCs w:val="22"/>
        </w:rPr>
        <w:t xml:space="preserve">Dokument architektury (ADR) definiujący: moduły Compliance Engine, schemat bazy danych, model kontroli dostępu, strukturę rejestru zdarzeń, architekturę wydajności i strukturę R-BOM. Dokument techniczny — szczegóły implementacyjne. Odpowiada: Spółka (architektura) + Fundacja (walidacja reguł).</w:t>
      </w:r>
    </w:p>
    <w:p>
      <w:pPr>
        <w:pStyle w:val="Heading2"/>
      </w:pPr>
      <w:r>
        <w:t xml:space="preserve">9.3. Deliverable C: Diagramy procesów</w:t>
      </w:r>
    </w:p>
    <w:p>
      <w:pPr>
        <w:spacing w:after="140"/>
      </w:pPr>
      <w:r>
        <w:rPr>
          <w:rFonts w:ascii="Arial" w:cs="Arial" w:eastAsia="Arial" w:hAnsi="Arial"/>
          <w:sz w:val="22"/>
          <w:szCs w:val="22"/>
        </w:rPr>
        <w:t xml:space="preserve">Diagramy workflow dla 7 procesów z bramkami normowymi: (W1) Publikacja ratingu, (W2) Przypisanie ewaluatora, (W3) Rejestracja darowizny, (W4) Break-Glass, (W5) Crypto-shredding RODO, (W6) Zatwierdzenie metodologii, (W7) Retrospektywna korekta ratingu (Rating Revision). Każdy workflow: decision point → Evaluation Context → OPA WASM Single-Pass Evaluation → decisions[] (BLOCK/WARN) → Transactional Outbox. Odpowiada: Fundacja + Spółka + Kolegium.</w:t>
      </w:r>
    </w:p>
    <w:p>
      <w:pPr>
        <w:spacing w:before="300"/>
      </w:pPr>
    </w:p>
    <w:p>
      <w:pPr>
        <w:spacing w:after="140"/>
      </w:pPr>
      <w:r>
        <w:rPr>
          <w:rFonts w:ascii="Arial" w:cs="Arial" w:eastAsia="Arial" w:hAnsi="Arial"/>
          <w:sz w:val="22"/>
          <w:szCs w:val="22"/>
        </w:rPr>
        <w:t xml:space="preserve">Trzy deliverables stanowią Sprint 0 — fundament implementacji. 7 workflowów, 20 Hard Gates (w tym NK-021 Evidence Materiality), 3 niezależne workery (SoD), External Trust Anchor, Public Transparency Log, Evidence Package z deterministic verification. Każda decyzja podejmowana jest przez człowieka — system zabezpiecza proces. Załącznik A definiuje pragmatyczną ścieżkę wdrożenia.</w:t>
      </w:r>
    </w:p>
    <w:p>
      <w:pPr>
        <w:spacing w:before="100"/>
      </w:pPr>
    </w:p>
    <w:p>
      <w:pPr>
        <w:pStyle w:val="Heading1"/>
      </w:pPr>
      <w:r>
        <w:t xml:space="preserve">Załącznik A: Memorandum Pragmatyczne (MVP Scoping)</w:t>
      </w:r>
    </w:p>
    <w:p>
      <w:pPr>
        <w:spacing w:after="40"/>
      </w:pPr>
      <w:r>
        <w:rPr>
          <w:rFonts w:ascii="Arial" w:cs="Arial" w:eastAsia="Arial" w:hAnsi="Arial"/>
          <w:b/>
          <w:bCs/>
          <w:color w:val="2D7D2D"/>
          <w:sz w:val="18"/>
          <w:szCs w:val="18"/>
        </w:rPr>
        <w:t xml:space="preserve">[Nowe w v2.1 — po recenzji VIII (CTO / Time-to-Market)]</w:t>
      </w:r>
    </w:p>
    <w:p>
      <w:pPr>
        <w:spacing w:after="140"/>
      </w:pPr>
      <w:r>
        <w:rPr>
          <w:rFonts w:ascii="Arial" w:cs="Arial" w:eastAsia="Arial" w:hAnsi="Arial"/>
          <w:sz w:val="22"/>
          <w:szCs w:val="22"/>
        </w:rPr>
        <w:t xml:space="preserve">Wersja 2.1 dokumentu opisuje architekturę docelową (architektura docelowa). Niniejszy załącznik definiuje, co budujemy w pierwszych miesiącach (MVP), a co odkładamy — aby zachować Time-to-Market i nie „spalić” budżetu przed wydaniem pierwszego ratingu. Zasada: zbudować szkielet z v2.1, ale wypełnić go prostymi, sprawdzonymi rozwiązaniami zamiast awangardowymi technologiami.</w:t>
      </w:r>
    </w:p>
    <w:p>
      <w:pPr>
        <w:pStyle w:val="Heading2"/>
      </w:pPr>
      <w:r>
        <w:t xml:space="preserve">A1. Decyzje architektoniczne MVP</w:t>
      </w:r>
    </w:p>
    <w:p>
      <w:pPr>
        <w:spacing w:after="140"/>
      </w:pPr>
      <w:r>
        <w:rPr>
          <w:rFonts w:ascii="Arial" w:cs="Arial" w:eastAsia="Arial" w:hAnsi="Arial"/>
          <w:sz w:val="22"/>
          <w:szCs w:val="22"/>
        </w:rPr>
        <w:t xml:space="preserve">Poniższa tabela definiuje, które elementy architektury docelowej wchodzą do MVP (Sprint 0–1), które są uproszczone, a które odkładane.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Element z v2.1</w:t>
            </w:r>
          </w:p>
        </w:tc>
        <w:tc>
          <w:tcPr>
            <w:tcW w:type="dxa" w:w="3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Decyzja MVP</w:t>
            </w:r>
          </w:p>
        </w:tc>
        <w:tc>
          <w:tcPr>
            <w:tcW w:type="dxa" w:w="36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Uzasadnienie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Immutable Audit Ledger (5.3)</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UPROSZCZENIE. PostgreSQL append-only + pgAudit zamiast event sourcing + CQRS. Blokada UPDATE/DELETE na poziomie bazy. UWAGA: admin root (DBA) może wyłączyć pgAudit — dlatego logi pgAudit są wysyłane (log shipping) w czasie rzeczywistym do bucketu S3 z włączonym Object Lock w trybie Compliance (retencja 5 lat). Nawet root AWS nie skasuje logu przed upływem retencji.</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Event sourcing zbyt złożony na MVP. Postgres + pgAudit + S3 Object Lock spełnia ISO 27001 w 100% i chroni przed insider threat za grosze.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Risk-Based Approval (5.8.1)</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Trzy stałe poziomy. Auto-execute wyłącznie dla Low-Risk (czynności administracyjne). Medium/High: ex-ante. Akcje zewnętrzne: zawsze Explicit Approval.</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Ex-ante chroni przed zarzutem braku kontroli wewnętrznej.</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Intent-Based Operations (5.12.5)</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ODROCZENIE na 2028+. Usunięte z planów Sprint 1–2. Reguły Compliance Engine pisane i audytowane wyłącznie przez inżyniera (Policy-as-Code). Zarząd zgłasza wniosek, inżynier pisze regułę .rego, CI/CD testuje, wdraża.</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Tłumaczenie języka naturalnego na twarde reguły compliance przez LLM to ryzyko krytyczne (halucynacje). Niedopuszczalne w systemie Zero-Trust.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State Anchoring (5.10)</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ODROCZENIE do Fazy 2–3. W Fazie 1: WORM backup. Od Fazy 2: codzienne znakowanie eIDAS (QETS).</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WORM backup na pierwsze miesiące, eIDAS od ekspansji sektorowej.</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Policy Registry (70 reguł)</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REDUKCJA. Sprint 0: 14 reguł core jako Hard Gates (pełny katalog: 21 Hard Gates w Policy Registry). Pozostałe 55: Soft Gates (procedura + oświadczenie człowieka, log w Audit Trail). Automatyzacja w miarę rozwoju.</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Zasada Pareta 80/20. Większość z 70 reguł to edge cases występujące raz w roku. 14 core pokrywa 80% codziennych operacji.</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Certyfikacja IMS (4 normy)</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OGRANICZENIE. Rok 1: formalna certyfikacja wyłącznie ISO 27001. Pozostałe (9001, 37001, 37301): Readiness Audit (Gap Analysis) przeprowadzony przez uznaną firmę trzecią (np. Big4 lub akredytowany audytor), która wydaje formalny Readiness Statement („Sprawdziliśmy system, jest gotowy do certyfikacji”). Uwiarygadnia na rynku B2G bez kosztów pełnego cyklu certyfikacji. Certyfikacja formalna pozostałych norm: Rok 2.</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4 certyfikacje naraz to błąd budżetowy. Sama self-declaration startującego podmiotu w sektorze obronnym/medycznym znaczy zero. Readiness Statement od uznanej firmy trzeciej = złoty środek.</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Break-Glass (5 osób, YubiKey)</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UPROSZCZENIE. Kworum 2-of-3 (Prezes Zarządu + Przewodniczący Izby + Admin Bezpieczeństwa). Passkeys (WebAuthn) z biometrią (Windows Hello / Apple FaceID) zamiast YubiKey FIPS i zamiast TOTP. Passkeys dają uwierzytelnienie kryptograficzne odporne na phishing (AiTM), są darmowe i mają lepszy UX niż przepisywanie kodów TOTP. YubiKey zachowany wyłącznie dla dostępu root admin.</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Passkeys &gt; TOTP (TOTP podatny na AiTM). Passkeys &gt; YubiKey (lepszy UX, zero kosztu, phishing-resistant). YubiKey dla root = wystarczające.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Delegat AI (5.8/5.12.2)</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Asystent administracyjny. Lista zadań (1-click approve). Nie sugeruje ocen merytorycznych.</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Czysta lista zadań to prawdziwe Frictionless Compliance.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D2D / M2M API (5.12.5)</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BEZ ZMIAN — pozostaje w roadmap Sprint 1–2. API first — budowane od początku, ale integracja D2D po stabilizacji MVP.</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Architektura API-first nie kosztuje dodatkowego czasu. Integracja D2D wymaga stabilnej platformy.</w:t>
            </w:r>
          </w:p>
        </w:tc>
      </w:tr>
    </w:tbl>
    <w:p>
      <w:pPr>
        <w:pStyle w:val="Heading2"/>
      </w:pPr>
      <w:r>
        <w:t xml:space="preserve">A2. 14 reguł core (Hard Gates Sprint 0)</w:t>
      </w:r>
    </w:p>
    <w:p>
      <w:pPr>
        <w:spacing w:after="140"/>
      </w:pPr>
      <w:r>
        <w:rPr>
          <w:rFonts w:ascii="Arial" w:cs="Arial" w:eastAsia="Arial" w:hAnsi="Arial"/>
          <w:sz w:val="22"/>
          <w:szCs w:val="22"/>
        </w:rPr>
        <w:t xml:space="preserve">Poniższe reguły są implementowane jako Hard Gates w Compliance Engine w Sprint 0. Pozostałe reguły działają jako Soft Gates (log + oświadczenie) do czasu automatyzacji.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ID reguły</w:t>
            </w:r>
          </w:p>
        </w:tc>
        <w:tc>
          <w:tcPr>
            <w:tcW w:type="dxa" w:w="64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Opis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NK-001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Role Gate: walidacja aktywnej roli i kadencji przy każdym request (§11–19). Obejmuje dedykowaną rolę External Auditor (Read-Only): dostęp do całego Audit Ledger, Readiness Dashboards i dokumentów IMS. Logowanie przez DPoP. Skraca czas audytu certyfikacyjnego o połowę i pozwala audytorowi ISO samodzielnie weryfikować system.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NK-002</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Incompatibilitas: zakaz łączenia funkcji Izba↔Zarząd, Izba↔Kolegium, Izba↔Trybunał, Kolegium↔Zarząd (§12–15).</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NK-003</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Conflict Checker: blokada przypisania ewaluatora do podmiotu, z którym ma konflikt interesów (§8 ust. 19).</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NK-004</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Rotation Tracker: blokada przypisania ewaluatora do podmiotu na min. 2 cykle po ostatniej ewaluacji (§8 ust. 11). Warunek ucieczkowy MVP: jeśli żaden dostępny ewaluator nie spełnia warunku rotacji (np. 3–4 ewaluatorów w niszowym sektorze), system wymaga pisemnej zgody Izby Nadzoru na odstępstwo (z analizą ryzyka ISO 37001). Logowane w Audit Trail.</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NK-005</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Maker-Checker: zatwierdzenie ratingu wymaga dwóch osób (§8 ust. 20b).</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NK-006</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Quorum check: głosowanie zablokowane bez quorum (§21 ust. 1).</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NK-007</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14-dniowy termin uwag podmiotu przed publikacją (§8 ust. 2). Timer blokuje publikację.</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NK-008</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Opinia obligatoryjna Kolegium przy zmianie metodologii (§13 ust. 6e). System nie pozwala zatwierdzić bez opinii.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NK-009</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30-dniowe konsultacje publiczne przy istotnej zmianie metodologii (§13 ust. 13). Timer.</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NK-010</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Klasyfikacja poufności: dokumenty klasyfikowane przez użytkownika (jawny/poufny/zastrzeżony, §9 ust. 5). System egzekwuje uprawnienia dostępu wg klasyfikacji.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NK-011</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Zakaz darowizn od podmiotu ocenianego bez zgody Izby (§10 ust. 8).</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NK-012</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Ujawnianie relacji licencyjnej w publikowanym ratingu (§8 ust. 15).</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NK-013</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Click-wrap: akceptacja polityk IMS przy logowaniu i zmianie roli.</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NK-014</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Delegate draft-only writes: Delegat nie zapisuje do approved_actions.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NK-015</w:t>
            </w:r>
          </w:p>
        </w:tc>
        <w:tc>
          <w:tcPr>
            <w:tcW w:type="dxa" w:w="64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Audit Trail: append-only log każdej akcji. Brak UPDATE/DELETE.</w:t>
            </w:r>
          </w:p>
        </w:tc>
      </w:tr>
    </w:tbl>
    <w:p>
      <w:pPr>
        <w:pStyle w:val="Heading2"/>
      </w:pPr>
      <w:r>
        <w:t xml:space="preserve">A3. Zoptymalizowany harmonogram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Faza</w:t>
            </w:r>
          </w:p>
        </w:tc>
        <w:tc>
          <w:tcPr>
            <w:tcW w:type="dxa" w:w="3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Czas</w:t>
            </w:r>
          </w:p>
        </w:tc>
        <w:tc>
          <w:tcPr>
            <w:tcW w:type="dxa" w:w="36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9"/>
                <w:szCs w:val="19"/>
              </w:rPr>
              <w:t xml:space="preserve">Zakres (MVP)</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Faza 0</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Tydz. 1–4</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14 reguł core Hard Gates w Compliance Engine (pełny katalog: 21 Hard Gates w Policy Registry). Postgres append-only + pgAudit. IaC baseline (Terraform). JWT TTL 15 min + Postgres suspended check (Zero Redis). DPoP w Fazie 1.</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Faza 1</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Tydz. 5–16</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RBAC + Chambers MVP (async voting). Eval Engine skeleton. UX: Hard Gates + lista zadań + Dashboards. ISO 27001 Compliance Ready. Deklaracja IOSCO. Peer review.</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Certyfikacja</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Mies. 6–12</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ISO 27001 formalna (Stage 1 + Stage 2). Pozostałe normy: self-declaration.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Faza 2</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Tydz. 17–24</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Delegate MVP (draft generation + Risk-Based Approval). Data Provenance (podpis + API). Trust Badge + QR. ISO 27701 + 42001.</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Faza 3</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Tydz. 25+</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Zaawansowane Data Provenance. Break-Glass pełny. Certyfikacja IMS. D2D/M2M API.</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bCs/>
                <w:sz w:val="19"/>
                <w:szCs w:val="19"/>
              </w:rPr>
              <w:t xml:space="preserve">Faza 4 (2028+)</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R&amp;D</w:t>
            </w:r>
          </w:p>
        </w:tc>
        <w:tc>
          <w:tcPr>
            <w:tcW w:type="dxa" w:w="3626"/>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b w:val="false"/>
                <w:bCs w:val="false"/>
                <w:sz w:val="19"/>
                <w:szCs w:val="19"/>
              </w:rPr>
              <w:t xml:space="preserve">Rozszerzenia Delegata. Event sourcing (jeśli skala wymaga). Pełna automatyzacja reguł.</w:t>
            </w:r>
          </w:p>
        </w:tc>
      </w:tr>
    </w:tbl>
    <w:p>
      <w:pPr>
        <w:pStyle w:val="Heading2"/>
      </w:pPr>
      <w:r>
        <w:t xml:space="preserve">A4. Zasada przewodnia</w:t>
      </w:r>
    </w:p>
    <w:p>
      <w:pPr>
        <w:spacing w:after="140"/>
      </w:pPr>
      <w:r>
        <w:rPr>
          <w:rFonts w:ascii="Arial" w:cs="Arial" w:eastAsia="Arial" w:hAnsi="Arial"/>
          <w:b/>
          <w:bCs/>
          <w:sz w:val="22"/>
          <w:szCs w:val="22"/>
        </w:rPr>
        <w:t xml:space="preserve">Dokument v2.1 to architektura docelowa. Załącznik A to pragmatyczna ścieżka dojścia. Nie budujemy perfekcyjnego systemu od dnia zero — budujemy system, który działa od dnia zero i zmierza ku perfekcji. Sprint 2 roadmap: CDC (Debezium), Automated Chaos Engineering, UBO Unrolling, AI Smart Triage, Perpetual KYC (pKYC) via webhook od dostawcy AML, Post-Quantum Cryptography (AES-256 + Kyber/ML-KEM), Event Correction Pattern (RODO art. 16), Zero-Knowledge Proofs w R-BOM, Normative Graph (norm-driven zamiast workflow-driven), PBAC (Purpose-Based Access Control), Automated DSAR (RODO art. 15).</w:t>
      </w:r>
    </w:p>
    <w:p>
      <w:pPr>
        <w:spacing w:after="140"/>
      </w:pPr>
      <w:r>
        <w:rPr>
          <w:rFonts w:ascii="Arial" w:cs="Arial" w:eastAsia="Arial" w:hAnsi="Arial"/>
          <w:sz w:val="22"/>
          <w:szCs w:val="22"/>
        </w:rPr>
        <w:t xml:space="preserve">Każde uproszczenie z Tabeli A1 jest świadomą decyzją architektoniczną, nie kompromisem bezpieczeństwa. żadne uproszczenie nie narusza zgodności z normami ISO ani Statutem — zmienia jedynie sposób egzekwowania (maszynowy Hard Gate vs. proceduralny Soft Gate) lub kolejność wdrożenia (MVP vs. architektura docelowa). W momencie gdy system dojrzeje i zgromadzi dowody działania (records), kolejne elementy z v2.1 są włączane iteracyjnie.</w:t>
      </w:r>
    </w:p>
    <w:p>
      <w:pPr>
        <w:spacing w:after="140"/>
      </w:pPr>
      <w:r>
        <w:rPr>
          <w:rFonts w:ascii="Arial" w:cs="Arial" w:eastAsia="Arial" w:hAnsi="Arial"/>
          <w:b/>
          <w:bCs/>
          <w:sz w:val="22"/>
          <w:szCs w:val="22"/>
        </w:rPr>
        <w:t xml:space="preserve">Zasada minimalizmu reguł: jeśli reguła występuje rzadziej niż raz na rok, nie automatyzujemy jej jako Hard Gate — pozostaje jako procedura.</w:t>
      </w:r>
    </w:p>
    <w:p>
      <w:r>
        <w:br w:type="page"/>
      </w:r>
    </w:p>
    <w:p>
      <w:pPr>
        <w:spacing w:after="140"/>
      </w:pPr>
      <w:r>
        <w:rPr>
          <w:rFonts w:ascii="Arial" w:cs="Arial" w:eastAsia="Arial" w:hAnsi="Arial"/>
          <w:i/>
          <w:iCs/>
          <w:color w:val="999999"/>
          <w:sz w:val="20"/>
          <w:szCs w:val="20"/>
        </w:rPr>
        <w:t xml:space="preserve">Koniec dokumentu.</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999999"/>
        <w:sz w:val="14"/>
        <w:szCs w:val="14"/>
      </w:rPr>
      <w:t xml:space="preserve">Wersja 2.1  |  Marzec 2026  |  Strona </w:t>
    </w:r>
    <w:r>
      <w:rPr>
        <w:rFonts w:ascii="Arial" w:cs="Arial" w:eastAsia="Arial" w:hAnsi="Arial"/>
        <w:color w:val="999999"/>
        <w:sz w:val="14"/>
        <w:szCs w:val="14"/>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6"/>
      </w:pBdr>
      <w:jc w:val="right"/>
    </w:pPr>
    <w:r>
      <w:rPr>
        <w:rFonts w:ascii="Arial" w:cs="Arial" w:eastAsia="Arial" w:hAnsi="Arial"/>
        <w:b/>
        <w:bCs/>
        <w:color w:val="2E5090"/>
        <w:sz w:val="16"/>
        <w:szCs w:val="16"/>
      </w:rPr>
      <w:t xml:space="preserve">CERTO GOVERNANCE INSTITUTE</w:t>
    </w:r>
    <w:r>
      <w:rPr>
        <w:rFonts w:ascii="Arial" w:cs="Arial" w:eastAsia="Arial" w:hAnsi="Arial"/>
        <w:color w:val="666666"/>
        <w:sz w:val="16"/>
        <w:szCs w:val="16"/>
      </w:rPr>
      <w:t xml:space="preserve">  |  Normy Zewnętrzne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2026-03-16T09:02:00.368Z</dcterms:created>
  <dcterms:modified xsi:type="dcterms:W3CDTF">2026-03-16T09:02:00.371Z</dcterms:modified>
</cp:coreProperties>
</file>

<file path=docProps/custom.xml><?xml version="1.0" encoding="utf-8"?>
<Properties xmlns="http://schemas.openxmlformats.org/officeDocument/2006/custom-properties" xmlns:vt="http://schemas.openxmlformats.org/officeDocument/2006/docPropsVTypes"/>
</file>