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Arial" w:cs="Arial" w:eastAsia="Arial" w:hAnsi="Arial"/>
          <w:b/>
          <w:bCs/>
          <w:color w:val="1A1A2E"/>
          <w:sz w:val="60"/>
          <w:szCs w:val="60"/>
        </w:rPr>
        <w:t xml:space="preserve">CERTO</w:t>
      </w:r>
    </w:p>
    <w:p>
      <w:pPr>
        <w:spacing w:after="120"/>
        <w:jc w:val="center"/>
      </w:pPr>
      <w:r>
        <w:rPr>
          <w:rFonts w:ascii="Arial" w:cs="Arial" w:eastAsia="Arial" w:hAnsi="Arial"/>
          <w:b/>
          <w:bCs/>
          <w:color w:val="2E5090"/>
          <w:sz w:val="44"/>
          <w:szCs w:val="44"/>
        </w:rPr>
        <w:t xml:space="preserve">POLICY REGISTRY</w:t>
      </w:r>
    </w:p>
    <w:p>
      <w:pPr>
        <w:spacing w:before="200"/>
      </w:pPr>
    </w:p>
    <w:p>
      <w:pPr>
        <w:spacing w:after="120"/>
        <w:jc w:val="center"/>
      </w:pPr>
      <w:r>
        <w:rPr>
          <w:rFonts w:ascii="Arial" w:cs="Arial" w:eastAsia="Arial" w:hAnsi="Arial"/>
          <w:color w:val="666666"/>
          <w:sz w:val="26"/>
          <w:szCs w:val="26"/>
        </w:rPr>
        <w:t xml:space="preserve">Rejestr reguł Compliance Engine</w:t>
      </w:r>
    </w:p>
    <w:p>
      <w:pPr>
        <w:spacing w:after="120"/>
        <w:jc w:val="center"/>
      </w:pPr>
      <w:r>
        <w:rPr>
          <w:rFonts w:ascii="Arial" w:cs="Arial" w:eastAsia="Arial" w:hAnsi="Arial"/>
          <w:color w:val="666666"/>
          <w:sz w:val="22"/>
          <w:szCs w:val="22"/>
        </w:rPr>
        <w:t xml:space="preserve">Deliverable A  —  Sprint 0</w:t>
      </w:r>
    </w:p>
    <w:p>
      <w:pPr>
        <w:spacing w:before="4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D0D0D0" w:sz="1"/>
              <w:left w:val="single" w:color="D0D0D0" w:sz="1"/>
              <w:bottom w:val="single" w:color="D0D0D0" w:sz="1"/>
              <w:right w:val="single" w:color="D0D0D0" w:sz="1"/>
            </w:tcBorders>
            <w:shd w:fill="F1EFE8" w:val="clear"/>
            <w:tcMar>
              <w:top w:type="dxa" w:w="80"/>
              <w:left w:type="dxa" w:w="120"/>
              <w:bottom w:type="dxa" w:w="80"/>
              <w:right w:type="dxa" w:w="120"/>
            </w:tcMar>
          </w:tcPr>
          <w:p>
            <w:r>
              <w:rPr>
                <w:rFonts w:ascii="Arial" w:cs="Arial" w:eastAsia="Arial" w:hAnsi="Arial"/>
                <w:b/>
                <w:bCs/>
                <w:sz w:val="18"/>
                <w:szCs w:val="18"/>
              </w:rPr>
              <w:t xml:space="preserve">Status</w:t>
            </w:r>
          </w:p>
        </w:tc>
        <w:tc>
          <w:tcPr>
            <w:tcW w:type="dxa" w:w="3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Dokument roboczy</w:t>
            </w:r>
          </w:p>
        </w:tc>
      </w:tr>
      <w:tr>
        <w:tc>
          <w:tcPr>
            <w:tcW w:type="dxa" w:w="2000"/>
            <w:tcBorders>
              <w:top w:val="single" w:color="D0D0D0" w:sz="1"/>
              <w:left w:val="single" w:color="D0D0D0" w:sz="1"/>
              <w:bottom w:val="single" w:color="D0D0D0" w:sz="1"/>
              <w:right w:val="single" w:color="D0D0D0" w:sz="1"/>
            </w:tcBorders>
            <w:shd w:fill="F1EFE8" w:val="clear"/>
            <w:tcMar>
              <w:top w:type="dxa" w:w="80"/>
              <w:left w:type="dxa" w:w="120"/>
              <w:bottom w:type="dxa" w:w="80"/>
              <w:right w:type="dxa" w:w="120"/>
            </w:tcMar>
          </w:tcPr>
          <w:p>
            <w:r>
              <w:rPr>
                <w:rFonts w:ascii="Arial" w:cs="Arial" w:eastAsia="Arial" w:hAnsi="Arial"/>
                <w:b/>
                <w:bCs/>
                <w:sz w:val="18"/>
                <w:szCs w:val="18"/>
              </w:rPr>
              <w:t xml:space="preserve">Dokument nadrzędny</w:t>
            </w:r>
          </w:p>
        </w:tc>
        <w:tc>
          <w:tcPr>
            <w:tcW w:type="dxa" w:w="3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Certo Normy Zewnętrzne v2.1 FINAL</w:t>
            </w:r>
          </w:p>
        </w:tc>
      </w:tr>
      <w:tr>
        <w:tc>
          <w:tcPr>
            <w:tcW w:type="dxa" w:w="2000"/>
            <w:tcBorders>
              <w:top w:val="single" w:color="D0D0D0" w:sz="1"/>
              <w:left w:val="single" w:color="D0D0D0" w:sz="1"/>
              <w:bottom w:val="single" w:color="D0D0D0" w:sz="1"/>
              <w:right w:val="single" w:color="D0D0D0" w:sz="1"/>
            </w:tcBorders>
            <w:shd w:fill="F1EFE8" w:val="clear"/>
            <w:tcMar>
              <w:top w:type="dxa" w:w="80"/>
              <w:left w:type="dxa" w:w="120"/>
              <w:bottom w:type="dxa" w:w="80"/>
              <w:right w:type="dxa" w:w="120"/>
            </w:tcMar>
          </w:tcPr>
          <w:p>
            <w:r>
              <w:rPr>
                <w:rFonts w:ascii="Arial" w:cs="Arial" w:eastAsia="Arial" w:hAnsi="Arial"/>
                <w:b/>
                <w:bCs/>
                <w:sz w:val="18"/>
                <w:szCs w:val="18"/>
              </w:rPr>
              <w:t xml:space="preserve">Źródła reguł</w:t>
            </w:r>
          </w:p>
        </w:tc>
        <w:tc>
          <w:tcPr>
            <w:tcW w:type="dxa" w:w="3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Statut Fundacji Certo v17, Normy Zewnętrzne v2.1</w:t>
            </w:r>
          </w:p>
        </w:tc>
      </w:tr>
      <w:tr>
        <w:tc>
          <w:tcPr>
            <w:tcW w:type="dxa" w:w="2000"/>
            <w:tcBorders>
              <w:top w:val="single" w:color="D0D0D0" w:sz="1"/>
              <w:left w:val="single" w:color="D0D0D0" w:sz="1"/>
              <w:bottom w:val="single" w:color="D0D0D0" w:sz="1"/>
              <w:right w:val="single" w:color="D0D0D0" w:sz="1"/>
            </w:tcBorders>
            <w:shd w:fill="F1EFE8" w:val="clear"/>
            <w:tcMar>
              <w:top w:type="dxa" w:w="80"/>
              <w:left w:type="dxa" w:w="120"/>
              <w:bottom w:type="dxa" w:w="80"/>
              <w:right w:type="dxa" w:w="120"/>
            </w:tcMar>
          </w:tcPr>
          <w:p>
            <w:r>
              <w:rPr>
                <w:rFonts w:ascii="Arial" w:cs="Arial" w:eastAsia="Arial" w:hAnsi="Arial"/>
                <w:b/>
                <w:bCs/>
                <w:sz w:val="18"/>
                <w:szCs w:val="18"/>
              </w:rPr>
              <w:t xml:space="preserve">Zatwierdzenie</w:t>
            </w:r>
          </w:p>
        </w:tc>
        <w:tc>
          <w:tcPr>
            <w:tcW w:type="dxa" w:w="3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Zarząd Fundacji Certo + CTO Spółki Certo ID PSA</w:t>
            </w:r>
          </w:p>
        </w:tc>
      </w:tr>
      <w:tr>
        <w:tc>
          <w:tcPr>
            <w:tcW w:type="dxa" w:w="2000"/>
            <w:tcBorders>
              <w:top w:val="single" w:color="D0D0D0" w:sz="1"/>
              <w:left w:val="single" w:color="D0D0D0" w:sz="1"/>
              <w:bottom w:val="single" w:color="D0D0D0" w:sz="1"/>
              <w:right w:val="single" w:color="D0D0D0" w:sz="1"/>
            </w:tcBorders>
            <w:shd w:fill="F1EFE8" w:val="clear"/>
            <w:tcMar>
              <w:top w:type="dxa" w:w="80"/>
              <w:left w:type="dxa" w:w="120"/>
              <w:bottom w:type="dxa" w:w="80"/>
              <w:right w:type="dxa" w:w="120"/>
            </w:tcMar>
          </w:tcPr>
          <w:p>
            <w:r>
              <w:rPr>
                <w:rFonts w:ascii="Arial" w:cs="Arial" w:eastAsia="Arial" w:hAnsi="Arial"/>
                <w:b/>
                <w:bCs/>
                <w:sz w:val="18"/>
                <w:szCs w:val="18"/>
              </w:rPr>
              <w:t xml:space="preserve">Liczba reguł</w:t>
            </w:r>
          </w:p>
        </w:tc>
        <w:tc>
          <w:tcPr>
            <w:tcW w:type="dxa" w:w="3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21 Hard Gates (NK-000–NK-022) + 22 Soft Gates (NK-019–NK-041) + procedury. Sprint 0: 14 reguł core.</w:t>
            </w:r>
          </w:p>
        </w:tc>
      </w:tr>
    </w:tbl>
    <w:p>
      <w:r>
        <w:br w:type="page"/>
      </w:r>
    </w:p>
    <w:p>
      <w:pPr>
        <w:pStyle w:val="Heading1"/>
      </w:pPr>
      <w:r>
        <w:t xml:space="preserve">Spis treści</w:t>
      </w:r>
    </w:p>
    <w:sdt>
      <w:sdtPr>
        <w:alias w:val="Spis treści"/>
      </w:sdtPr>
      <w:sdtContent>
        <w:p>
          <w:r>
            <w:fldChar w:fldCharType="begin" w:dirty="true"/>
            <w:instrText xml:space="preserve">TOC \h \o "1-3"</w:instrText>
            <w:fldChar w:fldCharType="separate"/>
          </w:r>
        </w:p>
        <w:p>
          <w:r>
            <w:fldChar w:fldCharType="end"/>
          </w:r>
        </w:p>
      </w:sdtContent>
    </w:sdt>
    <w:p>
      <w:pPr>
        <w:spacing w:after="120"/>
      </w:pPr>
      <w:r>
        <w:rPr>
          <w:rFonts w:ascii="Arial" w:cs="Arial" w:eastAsia="Arial" w:hAnsi="Arial"/>
          <w:i/>
          <w:iCs/>
          <w:color w:val="999999"/>
          <w:sz w:val="18"/>
          <w:szCs w:val="18"/>
        </w:rPr>
        <w:t xml:space="preserve">(Ctrl+A → F9)</w:t>
      </w:r>
    </w:p>
    <w:p>
      <w:r>
        <w:br w:type="page"/>
      </w:r>
    </w:p>
    <w:p>
      <w:pPr>
        <w:pStyle w:val="Heading1"/>
      </w:pPr>
      <w:r>
        <w:t xml:space="preserve">1. Wprowadzenie</w:t>
      </w:r>
    </w:p>
    <w:p>
      <w:pPr>
        <w:spacing w:after="120"/>
      </w:pPr>
      <w:r>
        <w:rPr>
          <w:rFonts w:ascii="Arial" w:cs="Arial" w:eastAsia="Arial" w:hAnsi="Arial"/>
          <w:sz w:val="22"/>
          <w:szCs w:val="22"/>
        </w:rPr>
        <w:t xml:space="preserve">Niniejszy dokument stanowi Deliverable A Sprintu 0 zgodnie z sekcją 9 dokumentu Normy Zewnętrzne v2.1 FINAL. Jest specyfikacją reguł biznesowych (Business Rule Definition, BRD) — ludzką dokumentacją reguł Compliance Engine. Prawdziwy artefakt maszynowy (JSON/Rego) wylAduje w repozytorium kodu (Git); ten dokument stanowi jego autoryzowane źródło prawdy dla Zarządu, Izby Nadzoru i audytora.</w:t>
      </w:r>
    </w:p>
    <w:p>
      <w:pPr>
        <w:pStyle w:val="Heading2"/>
      </w:pPr>
      <w:r>
        <w:t xml:space="preserve">1.1. Struktura rejestru</w:t>
      </w:r>
    </w:p>
    <w:p>
      <w:pPr>
        <w:spacing w:after="120"/>
      </w:pPr>
      <w:r>
        <w:rPr>
          <w:rFonts w:ascii="Arial" w:cs="Arial" w:eastAsia="Arial" w:hAnsi="Arial"/>
          <w:sz w:val="22"/>
          <w:szCs w:val="22"/>
        </w:rPr>
        <w:t xml:space="preserve">Rejestr dzieli reguły na trzy kategorie zgodnie z zasadą minimalizmu reguł (Załącznik A, sekcja A4 Norm Zewnętrznych):</w:t>
      </w:r>
    </w:p>
    <w:p>
      <w:pPr>
        <w:spacing w:after="120"/>
      </w:pPr>
      <w:r>
        <w:rPr>
          <w:rFonts w:ascii="Arial" w:cs="Arial" w:eastAsia="Arial" w:hAnsi="Arial"/>
          <w:b/>
          <w:bCs/>
          <w:sz w:val="22"/>
          <w:szCs w:val="22"/>
        </w:rPr>
        <w:t xml:space="preserve">Hard Gates (NK-001–NK-015): </w:t>
      </w:r>
      <w:r>
        <w:rPr>
          <w:rFonts w:ascii="Arial" w:cs="Arial" w:eastAsia="Arial" w:hAnsi="Arial"/>
          <w:sz w:val="22"/>
          <w:szCs w:val="22"/>
        </w:rPr>
        <w:t xml:space="preserve">Reguły egzekwowane maszynowo przez Compliance Engine. Blokują operację — użytkownik nie może przejść dalej. Implementowane w Sprint 0 (Faza 0).</w:t>
      </w:r>
    </w:p>
    <w:p>
      <w:pPr>
        <w:spacing w:after="120"/>
      </w:pPr>
      <w:r>
        <w:rPr>
          <w:rFonts w:ascii="Arial" w:cs="Arial" w:eastAsia="Arial" w:hAnsi="Arial"/>
          <w:b/>
          <w:bCs/>
          <w:sz w:val="22"/>
          <w:szCs w:val="22"/>
        </w:rPr>
        <w:t xml:space="preserve">Soft Gates (NK-019–NK-040): </w:t>
      </w:r>
      <w:r>
        <w:rPr>
          <w:rFonts w:ascii="Arial" w:cs="Arial" w:eastAsia="Arial" w:hAnsi="Arial"/>
          <w:sz w:val="22"/>
          <w:szCs w:val="22"/>
        </w:rPr>
        <w:t xml:space="preserve">Reguły logowane + wymagające oświadczenia człowieka. System ostrzeże, ale nie blokuje. Automatyzacja w Fazach 1–3.</w:t>
      </w:r>
    </w:p>
    <w:p>
      <w:pPr>
        <w:spacing w:after="120"/>
      </w:pPr>
      <w:r>
        <w:rPr>
          <w:rFonts w:ascii="Arial" w:cs="Arial" w:eastAsia="Arial" w:hAnsi="Arial"/>
          <w:b/>
          <w:bCs/>
          <w:sz w:val="22"/>
          <w:szCs w:val="22"/>
        </w:rPr>
        <w:t xml:space="preserve">Procedury: </w:t>
      </w:r>
      <w:r>
        <w:rPr>
          <w:rFonts w:ascii="Arial" w:cs="Arial" w:eastAsia="Arial" w:hAnsi="Arial"/>
          <w:sz w:val="22"/>
          <w:szCs w:val="22"/>
        </w:rPr>
        <w:t xml:space="preserve">Reguły występujące rzadziej niż raz na rok. Egzekwowane proceduralnie (regulaminy, checklisty). Nie zakodowane w Compliance Engine.</w:t>
      </w:r>
    </w:p>
    <w:p>
      <w:pPr>
        <w:pStyle w:val="Heading2"/>
      </w:pPr>
      <w:r>
        <w:t xml:space="preserve">1.2. Format reguły</w:t>
      </w:r>
    </w:p>
    <w:p>
      <w:pPr>
        <w:spacing w:after="120"/>
      </w:pPr>
      <w:r>
        <w:rPr>
          <w:rFonts w:ascii="Arial" w:cs="Arial" w:eastAsia="Arial" w:hAnsi="Arial"/>
          <w:sz w:val="22"/>
          <w:szCs w:val="22"/>
        </w:rPr>
        <w:t xml:space="preserve">Każda reguła Hard Gate zawiera: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D0D0D0" w:sz="1"/>
              <w:left w:val="single" w:color="D0D0D0" w:sz="1"/>
              <w:bottom w:val="single" w:color="D0D0D0" w:sz="1"/>
              <w:right w:val="single" w:color="D0D0D0"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Pole</w:t>
            </w:r>
          </w:p>
        </w:tc>
        <w:tc>
          <w:tcPr>
            <w:tcW w:type="dxa" w:w="6826"/>
            <w:tcBorders>
              <w:top w:val="single" w:color="D0D0D0" w:sz="1"/>
              <w:left w:val="single" w:color="D0D0D0" w:sz="1"/>
              <w:bottom w:val="single" w:color="D0D0D0" w:sz="1"/>
              <w:right w:val="single" w:color="D0D0D0"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Opis</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ID</w:t>
            </w:r>
          </w:p>
        </w:tc>
        <w:tc>
          <w:tcPr>
            <w:tcW w:type="dxa" w:w="68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Unikalny identyfikator NK-XXX</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Nazwa</w:t>
            </w:r>
          </w:p>
        </w:tc>
        <w:tc>
          <w:tcPr>
            <w:tcW w:type="dxa" w:w="68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Krótka nazwa reguły</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Źródło</w:t>
            </w:r>
          </w:p>
        </w:tc>
        <w:tc>
          <w:tcPr>
            <w:tcW w:type="dxa" w:w="68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Paragraf Statutu i/lub norma ISO</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Trigger</w:t>
            </w:r>
          </w:p>
        </w:tc>
        <w:tc>
          <w:tcPr>
            <w:tcW w:type="dxa" w:w="68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Warunek aktywacji reguły (pseudokod)</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Action</w:t>
            </w:r>
          </w:p>
        </w:tc>
        <w:tc>
          <w:tcPr>
            <w:tcW w:type="dxa" w:w="68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BLOCK / WARN / LOG / REQUIRE_APPROVAL / REQUIRE_JUSTIFICATION</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Target</w:t>
            </w:r>
          </w:p>
        </w:tc>
        <w:tc>
          <w:tcPr>
            <w:tcW w:type="dxa" w:w="68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Rola, encja lub proces, którego dotyczy</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Timer</w:t>
            </w:r>
          </w:p>
        </w:tc>
        <w:tc>
          <w:tcPr>
            <w:tcW w:type="dxa" w:w="68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Okres blokady (jeśli dotyczy). Źródło czasu: Wewnętrzny chronyd (Stratum 2) dla timerów API. eIDAS TSA asynchronicznie dla R-BOM. Graceful Degradation: jeśli eIDAS niedostępny → flaga eIDAS_PENDING + batch dotstemplowanie po powrocie usługi. Nigdy now() lokalnej bazy.</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Funkcja CE</w:t>
            </w:r>
          </w:p>
        </w:tc>
        <w:tc>
          <w:tcPr>
            <w:tcW w:type="dxa" w:w="68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Moduł Compliance Engine: RBAC / Conflict / Maker-Checker / Audit</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Layer</w:t>
            </w:r>
          </w:p>
        </w:tc>
        <w:tc>
          <w:tcPr>
            <w:tcW w:type="dxa" w:w="68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Warstwa egzekucji: API (Policy Engine / OPA) / DB (Postgres trigger + RLS) / Frontend (Hard Gate UI)</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Break-Glass</w:t>
            </w:r>
          </w:p>
        </w:tc>
        <w:tc>
          <w:tcPr>
            <w:tcW w:type="dxa" w:w="68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STANDARD = Break-Glass via IdP Step-Up Auth (Entra ID / Okta + YubiKey), count(DISTINCT organ_id) &gt;= 2. OPA sterylnie czysta: violations[] zwracane w całości, API klasyfikuje omijalne vs nieomijalne. Pełny zapis audytowy + post-mortem. RADIOACTIVE = jak STANDARD, ale użycie blokuje wydawanie NOWYCH ratingów w kontekście sprawy/podmiotu objętego incydentem do wyjaśnienia przez Izbę Nadzoru (max 48h). Globalna blokada całego systemu wymaga oddzielnej uchwały Zarządu w trybie Crisis Management. Powiadomienie Izby. Raportowanie audytorowi zewnętrznemu w najbliższym cyklu. Istniejące ratingi ważne.</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Tier</w:t>
            </w:r>
          </w:p>
        </w:tc>
        <w:tc>
          <w:tcPr>
            <w:tcW w:type="dxa" w:w="68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Tier 1 (konstytucyjna) = fundament reputacji instytucji; naruszenie = kryzys. Tier 2 (operacyjna) = wspiera działanie systemu; naruszenie = incydent operacyjny.</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Remediation</w:t>
            </w:r>
          </w:p>
        </w:tc>
        <w:tc>
          <w:tcPr>
            <w:tcW w:type="dxa" w:w="68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Akcja UX: co interfejs proponuje użytkownikowi, by rozwiązać blokadę (URI / modal / redirect).</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Faza MVP</w:t>
            </w:r>
          </w:p>
        </w:tc>
        <w:tc>
          <w:tcPr>
            <w:tcW w:type="dxa" w:w="68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Faza wdrożenia: 0 (Hard Gate) / 1–3 (automatyzacja Soft Gate)</w:t>
            </w:r>
          </w:p>
        </w:tc>
      </w:tr>
    </w:tbl>
    <w:p>
      <w:r>
        <w:br w:type="page"/>
      </w:r>
    </w:p>
    <w:p>
      <w:pPr>
        <w:pStyle w:val="Heading1"/>
      </w:pPr>
      <w:r>
        <w:t xml:space="preserve">2. Hard Gates (NK-000–NK-018)</w:t>
      </w:r>
    </w:p>
    <w:p>
      <w:pPr>
        <w:spacing w:after="120"/>
      </w:pPr>
      <w:r>
        <w:rPr>
          <w:rFonts w:ascii="Arial" w:cs="Arial" w:eastAsia="Arial" w:hAnsi="Arial"/>
          <w:sz w:val="22"/>
          <w:szCs w:val="22"/>
        </w:rPr>
        <w:t xml:space="preserve">Poniższe 21 reguł stanowi pełny katalog Hard Gates. Z tego 14 reguł core jest implementowanych w Sprint 0 (Faza 0, tydz. 1–8). Pozostałe 7 Hard Gates w Sprint 1. Pokrywają 80% codziennych operacji systemu.</w:t>
      </w:r>
    </w:p>
    <w:p>
      <w:pPr>
        <w:spacing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9026"/>
            <w:gridSpan w:val="2"/>
            <w:tcBorders>
              <w:top w:val="single" w:color="D0D0D0" w:sz="1"/>
              <w:left w:val="single" w:color="D0D0D0" w:sz="1"/>
              <w:bottom w:val="single" w:color="D0D0D0" w:sz="1"/>
              <w:right w:val="single" w:color="D0D0D0" w:sz="1"/>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NK-000  </w:t>
            </w:r>
            <w:r>
              <w:rPr>
                <w:rFonts w:ascii="Arial" w:cs="Arial" w:eastAsia="Arial" w:hAnsi="Arial"/>
                <w:color w:val="FFFFFF"/>
                <w:sz w:val="20"/>
                <w:szCs w:val="20"/>
              </w:rPr>
              <w:t xml:space="preserve">Fail-Closed Default</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Źródło</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ISO 27001 (Zero-Trust). NIST SP 800-207 (default deny).</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Trigger</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policyEngine.evaluate(request) == TIMEOUT OR policyEngine.evaluate(request) == ERROR</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Action</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BLOCK. Domyślna akcja przy braku odpowiedzi Policy Engine lub błędzie ewaluacji: odmowa dostępu + log do infrastruktury.</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Target</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Cały system. Każdy punkt decyzyjny.</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Layer</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API (middleware fail-closed).</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Tier</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1 (konstytucyjna). Bezpieczeństwo systemowe.</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Break-Glass</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STANDARD (awaria Policy Engine = natychmiastowy Break-Glass z alertem).</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Remediation</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SHOW_MESSAGE(„System chwilowo niedostępny. Trwa diagnostyka.”). Alert do Admin.</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Funkcja CE</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RBAC (nadnadrzędna).</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Faza MVP</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0.</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Timeout</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OPA WASM in-process (&lt;0.1ms). Brak odpowiedzi = HTTP 503 (Fail-Closed). Brak auto-retry. Brak cache decyzji autoryzacyjnych.</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Evaluation Context</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OPA nie pobiera danych z bazy. API aplikacji buduje Evaluation Context (JSON: snapshot ról, historia rotacji, status konfliktów) i przesyła go do OPA. Gwarantuje deterministyczne czasy &lt;50ms. Szczegóły w Deliverable B.</w:t>
            </w:r>
          </w:p>
        </w:tc>
      </w:tr>
    </w:tbl>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9026"/>
            <w:gridSpan w:val="2"/>
            <w:tcBorders>
              <w:top w:val="single" w:color="D0D0D0" w:sz="1"/>
              <w:left w:val="single" w:color="D0D0D0" w:sz="1"/>
              <w:bottom w:val="single" w:color="D0D0D0" w:sz="1"/>
              <w:right w:val="single" w:color="D0D0D0" w:sz="1"/>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NK-001  </w:t>
            </w:r>
            <w:r>
              <w:rPr>
                <w:rFonts w:ascii="Arial" w:cs="Arial" w:eastAsia="Arial" w:hAnsi="Arial"/>
                <w:color w:val="FFFFFF"/>
                <w:sz w:val="20"/>
                <w:szCs w:val="20"/>
              </w:rPr>
              <w:t xml:space="preserve">Role Gate</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Źródło</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§11–19 Statutu Fundacji Certo v17. ISO 37301 (access control). ISO 27001 Annex A.5.15.</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Trigger</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user.login() OR user.activateRole() — walidacja przy ustanowieniu sesji, nie przy każdym request API. Token sesji zawiera RBAC snapshot (role, kadencja, clearance).</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Action</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BLOCK. Hard Gate: „Brak aktywnej roli lub kadencja wygasła.”</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Target</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Wszystkie role. Moment: login / aktywacja roli / odświeżenie sesji.</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Timer</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Brak (walidacja przy tworzeniu sesji).</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Layer</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API (Policy Engine).</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Tier</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2 (operacyjna).</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Break-Glass</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STANDARD (np. awaria rejestru ról, wymagana pilna operacja).</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Remediation</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REDIRECT(/auth/role-activation) — użytkownik widzi listę dostępnych ról do aktywacji.</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Funkcja CE</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RBAC (kontrola dostępu).</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Faza MVP</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0 (Sprint 0).</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Uwaga MVP</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Obejmuje dedykowaną rolę External Auditor (Read-Only). Logowanie przez DPoP.</w:t>
            </w:r>
          </w:p>
        </w:tc>
      </w:tr>
    </w:tbl>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9026"/>
            <w:gridSpan w:val="2"/>
            <w:tcBorders>
              <w:top w:val="single" w:color="D0D0D0" w:sz="1"/>
              <w:left w:val="single" w:color="D0D0D0" w:sz="1"/>
              <w:bottom w:val="single" w:color="D0D0D0" w:sz="1"/>
              <w:right w:val="single" w:color="D0D0D0" w:sz="1"/>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NK-002  </w:t>
            </w:r>
            <w:r>
              <w:rPr>
                <w:rFonts w:ascii="Arial" w:cs="Arial" w:eastAsia="Arial" w:hAnsi="Arial"/>
                <w:color w:val="FFFFFF"/>
                <w:sz w:val="20"/>
                <w:szCs w:val="20"/>
              </w:rPr>
              <w:t xml:space="preserve">Incompatibilitas</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Źródło</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§12 ust. 6, §13 ust. 8, §14 ust. 5, §15 ust. 15 Statutu. ISO 37001 (segregation of duties).</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Trigger</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user.assignRole(newRole) AND incompatibilityMatrix[user.currentRole][newRole] == true</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Action</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BLOCK. Hard Gate: „Funkcje [X] i [Y] są niemożliwe do jednoczesnego pełnienia (§Z).”</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Target</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Pary ról: Izba↔Zarząd, Izba↔Kolegium, Izba↔Trybunał, Kolegium↔Zarząd.</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Layer</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API (Policy Engine).</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Tier</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1 (konstytucyjna). Segregacja funkcji.</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Break-Glass</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RADIOACTIVE — incompatibilitas jest zasadą konstytucyjną Statutu, nie może być nadpisana.</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Remediation</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SHOW_MESSAGE(„Aby przyjąć rolę [Y], należy najpierw złożyć rezygnację z roli [X].”)</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Funkcja CE</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RBAC (kontrola dostępu).</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Faza MVP</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0.</w:t>
            </w:r>
          </w:p>
        </w:tc>
      </w:tr>
    </w:tbl>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9026"/>
            <w:gridSpan w:val="2"/>
            <w:tcBorders>
              <w:top w:val="single" w:color="D0D0D0" w:sz="1"/>
              <w:left w:val="single" w:color="D0D0D0" w:sz="1"/>
              <w:bottom w:val="single" w:color="D0D0D0" w:sz="1"/>
              <w:right w:val="single" w:color="D0D0D0" w:sz="1"/>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NK-003  </w:t>
            </w:r>
            <w:r>
              <w:rPr>
                <w:rFonts w:ascii="Arial" w:cs="Arial" w:eastAsia="Arial" w:hAnsi="Arial"/>
                <w:color w:val="FFFFFF"/>
                <w:sz w:val="20"/>
                <w:szCs w:val="20"/>
              </w:rPr>
              <w:t xml:space="preserve">Conflict Checker</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Źródło</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§8 ust. 19 Statutu. ISO 37001. ISO 37301.</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Trigger</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user.assignTo(evaluation) AND conflictRegistry.hasConflict(user, evaluation.entity)</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Action</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BLOCK + NOTIFY(izba.przewodniczacy).</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Target</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Rola: Ewaluator. Kontekst: przypisanie do ewaluacji.</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Layer</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API (Policy Engine).</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Tier</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1 (konstytucyjna). Bezstronność = fundament reputacji.</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Break-Glass</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RADIOACTIVE.</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Remediation</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REDIRECT(/conflict-declaration/new).</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Funkcja CE</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Conflict.</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Faza MVP</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0.</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Post-factum</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System sprawdza konflikty również po publikacji ratingu (nightly scan). Wykrycie → alert do Izby + flaga na ratingu.</w:t>
            </w:r>
          </w:p>
        </w:tc>
      </w:tr>
    </w:tbl>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9026"/>
            <w:gridSpan w:val="2"/>
            <w:tcBorders>
              <w:top w:val="single" w:color="D0D0D0" w:sz="1"/>
              <w:left w:val="single" w:color="D0D0D0" w:sz="1"/>
              <w:bottom w:val="single" w:color="D0D0D0" w:sz="1"/>
              <w:right w:val="single" w:color="D0D0D0" w:sz="1"/>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NK-004  </w:t>
            </w:r>
            <w:r>
              <w:rPr>
                <w:rFonts w:ascii="Arial" w:cs="Arial" w:eastAsia="Arial" w:hAnsi="Arial"/>
                <w:color w:val="FFFFFF"/>
                <w:sz w:val="20"/>
                <w:szCs w:val="20"/>
              </w:rPr>
              <w:t xml:space="preserve">Rotation Tracker</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Źródło</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§8 ust. 11 Statutu. ISO 37001 (segregation). IOSCO (rotation of analysts).</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Trigger</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user.assignTo(evaluation) AND rotationLog.lastCycle(user, evaluation.entity) &lt; 2 AND NOT hasIzbaWaiver(user, evaluation.entity)</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Action</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BLOCK + AUTO_TRIGGER(/rotation-waiver/request). System automatycznie otwiera procedurę waiver, nie tylko blokuje.</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Target</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Rola: Ewaluator. Kontekst: przypisanie do podmiotu.</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Timer</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Min. 2 cykle od ostatniej ewaluacji danego podmiotu.</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Layer</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API (Policy Engine).</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Tier</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2 (operacyjna).</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Break-Glass</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STANDARD (warunkowo — tylko jeśli Izba wydała pisemną zgodę na odstępstwo, hasIzbaWaiver).</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Remediation</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REDIRECT(/rotation-waiver/request) — formularz wniosku o zgodę Izby z analizą ryzyka ISO 37001.</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Funkcja CE</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Conflict (konflikty + rotacja).</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Faza MVP</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0.</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Escape clause</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Jeśli żaden ewaluator nie spełnia warunku rotacji: system wymaga pisemnej zgody Izby (hasIzbaWaiver). Logowane w Audit Trail.</w:t>
            </w:r>
          </w:p>
        </w:tc>
      </w:tr>
    </w:tbl>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9026"/>
            <w:gridSpan w:val="2"/>
            <w:tcBorders>
              <w:top w:val="single" w:color="D0D0D0" w:sz="1"/>
              <w:left w:val="single" w:color="D0D0D0" w:sz="1"/>
              <w:bottom w:val="single" w:color="D0D0D0" w:sz="1"/>
              <w:right w:val="single" w:color="D0D0D0" w:sz="1"/>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NK-005  </w:t>
            </w:r>
            <w:r>
              <w:rPr>
                <w:rFonts w:ascii="Arial" w:cs="Arial" w:eastAsia="Arial" w:hAnsi="Arial"/>
                <w:color w:val="FFFFFF"/>
                <w:sz w:val="20"/>
                <w:szCs w:val="20"/>
              </w:rPr>
              <w:t xml:space="preserve">Maker-Checker (Zasada Czworga Oczu)</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Źródło</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§8 ust. 20b Statutu. ISO 37001. ISO 9001.</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Trigger</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rating.submit(approver) AND (approver IN rating.contributors OR approver.role.clearanceLevel &lt; operation.requiredClearance)</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Action</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BLOCK. Checker nie może być żadną z osób, które edytowały dokument.</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Target</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Operacje: zatwierdzenie ratingu, publikacja, zmiana wagi metodologii.</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Layer</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API (Policy Engine).</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Tier</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2 (operacyjna).</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Break-Glass</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STANDARD.</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Remediation</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SHOW_LIST(/available-checkers).</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Funkcja CE</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Maker-Checker.</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Faza MVP</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0.</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Deadlock Resolution</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Jeśli wszyscy uprawnieni Checkerzy są jednocześnie Contributors: wyjątkowe zatwierdzenie przez członka Kolegium Standardu (zna metodologię, ale nie jest ewaluatorem) LUB przez dwóch członków Zarządu (Dual Control). Nigdy członek Izby Nadzoru — Izba nie może kontrolować ratingu, który sama zatwierdziła (SoD). Logowane jako incydent operacyjny. Prewencja: przed dodaniem nowego Contributora do draftu system sprawdza availableCheckers.count() &gt; 0 — jeśli dodanie wyzeruje pulę Checkerów, BLOCK dodania.</w:t>
            </w:r>
          </w:p>
        </w:tc>
      </w:tr>
    </w:tbl>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9026"/>
            <w:gridSpan w:val="2"/>
            <w:tcBorders>
              <w:top w:val="single" w:color="D0D0D0" w:sz="1"/>
              <w:left w:val="single" w:color="D0D0D0" w:sz="1"/>
              <w:bottom w:val="single" w:color="D0D0D0" w:sz="1"/>
              <w:right w:val="single" w:color="D0D0D0" w:sz="1"/>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NK-006  </w:t>
            </w:r>
            <w:r>
              <w:rPr>
                <w:rFonts w:ascii="Arial" w:cs="Arial" w:eastAsia="Arial" w:hAnsi="Arial"/>
                <w:color w:val="FFFFFF"/>
                <w:sz w:val="20"/>
                <w:szCs w:val="20"/>
              </w:rPr>
              <w:t xml:space="preserve">Quorum Check</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Źródło</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§21 ust. 1 Statutu. ISO 9001 (decision records).</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Trigger</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resolution.execute(organ) AND organ.confirmedVotes &lt; organ.quorumThreshold</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Action</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BLOCK. Hard Gate: „Kworum niesięgnięte ([X]/[Y] członków). Egzekucja uchwały zablokowana.”</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Target</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Organy: Zarząd, Izba Nadzoru, Kolegium Standardu, Trybunał Odwoławczy.</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Timer</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Brak (walidacja w momencie egzekucji uchwały, nie na starcie głosowania — kompatybilne z async voting 72h).</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Layer</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API (Policy Engine).</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Tier</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2 (operacyjna).</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Break-Glass</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STANDARD (np. awaria techniczna uniemożliwiająca głosowanie członka przy pełnej frekwencji).</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Remediation</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SHOW_STATUS(/voting/[id]/quorum) — kto głosował, kto nie, ile brakuje do kworum.</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Funkcja CE</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RBAC (walidacja składu organu).</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Faza MVP</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0.</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Vote Snapshot</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Ważność głosu ustalana w momencie oddania. System blokuje zwołanie głosowania 72h jeśli kadencja któregokolwiek niezbędnego członka wygasa w trakcie okna. Szczegóły implementacji w Deliverable B.</w:t>
            </w:r>
          </w:p>
        </w:tc>
      </w:tr>
    </w:tbl>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9026"/>
            <w:gridSpan w:val="2"/>
            <w:tcBorders>
              <w:top w:val="single" w:color="D0D0D0" w:sz="1"/>
              <w:left w:val="single" w:color="D0D0D0" w:sz="1"/>
              <w:bottom w:val="single" w:color="D0D0D0" w:sz="1"/>
              <w:right w:val="single" w:color="D0D0D0" w:sz="1"/>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NK-007  </w:t>
            </w:r>
            <w:r>
              <w:rPr>
                <w:rFonts w:ascii="Arial" w:cs="Arial" w:eastAsia="Arial" w:hAnsi="Arial"/>
                <w:color w:val="FFFFFF"/>
                <w:sz w:val="20"/>
                <w:szCs w:val="20"/>
              </w:rPr>
              <w:t xml:space="preserve">14-dniowy termin uwag podmiotu</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Źródło</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§8 ust. 2 Statutu. IOSCO (right of reply).</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Trigger</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rating.requestPublish() AND daysFromNotification(rating.entity) &lt; 14 AND NOT entity.waivedReplyPeriod()</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Action</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BLOCK. Podmiot może zrzec się terminu w formie podpisanej deklaracji (waivedReplyPeriod).</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Target</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Proces: publikacja ratingu.</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Timer</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14 dni. Źródło: chronyd (Stratum 2); eIDAS dla R-BOM.</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Layer</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API (Policy Engine).</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Tier</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1 (konstytucyjna). Uczciwość procesu.</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Break-Glass</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RADIOACTIVE.</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Remediation</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SHOW_COUNTDOWN(/rating/[id]/reply-window).</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Funkcja CE</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Audit (timer + log).</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Faza MVP</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0.</w:t>
            </w:r>
          </w:p>
        </w:tc>
      </w:tr>
    </w:tbl>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9026"/>
            <w:gridSpan w:val="2"/>
            <w:tcBorders>
              <w:top w:val="single" w:color="D0D0D0" w:sz="1"/>
              <w:left w:val="single" w:color="D0D0D0" w:sz="1"/>
              <w:bottom w:val="single" w:color="D0D0D0" w:sz="1"/>
              <w:right w:val="single" w:color="D0D0D0" w:sz="1"/>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NK-008  </w:t>
            </w:r>
            <w:r>
              <w:rPr>
                <w:rFonts w:ascii="Arial" w:cs="Arial" w:eastAsia="Arial" w:hAnsi="Arial"/>
                <w:color w:val="FFFFFF"/>
                <w:sz w:val="20"/>
                <w:szCs w:val="20"/>
              </w:rPr>
              <w:t xml:space="preserve">Opinia obligatoryjna Kolegium</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Źródło</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§13 ust. 6e Statutu. ISO 9001 (review of changes).</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Trigger</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methodology.approveChange() AND kolegium.opinion == null</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Action</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BLOCK. Hard Gate: „Brak opinii Kolegium Standardu Certo. Zatwierdzenie wymaga opinii (§13 ust. 6e).”</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Target</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Proces: zatwierdzenie zmiany metodologii.</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Layer</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API (Policy Engine).</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Tier</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1 (konstytucyjna). Integralność metodologii.</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Break-Glass</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RADIOACTIVE — opinia Kolegium jest wymogiem konstytucyjnym Statutu.</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Remediation</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TRIGGER_ACTION(/kolegium/opinion/request/[change_id]) — zlecenie opinii Kolegium.</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Funkcja CE</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Maker-Checker (opinia = check).</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Faza MVP</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0.</w:t>
            </w:r>
          </w:p>
        </w:tc>
      </w:tr>
    </w:tbl>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9026"/>
            <w:gridSpan w:val="2"/>
            <w:tcBorders>
              <w:top w:val="single" w:color="D0D0D0" w:sz="1"/>
              <w:left w:val="single" w:color="D0D0D0" w:sz="1"/>
              <w:bottom w:val="single" w:color="D0D0D0" w:sz="1"/>
              <w:right w:val="single" w:color="D0D0D0" w:sz="1"/>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NK-009  </w:t>
            </w:r>
            <w:r>
              <w:rPr>
                <w:rFonts w:ascii="Arial" w:cs="Arial" w:eastAsia="Arial" w:hAnsi="Arial"/>
                <w:color w:val="FFFFFF"/>
                <w:sz w:val="20"/>
                <w:szCs w:val="20"/>
              </w:rPr>
              <w:t xml:space="preserve">30-dniowe konsultacje publiczne</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Źródło</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§13 ust. 13 Statutu. IOSCO (public consultation). ISO 37301 (stakeholder engagement).</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Trigger</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methodology.significantChange.approve() AND daysFromPublicConsultationStart() &lt; 30</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Action</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BLOCK.</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Target</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Proces: zatwierdzenie istotnej zmiany metodologii.</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Timer</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30 dni. Źródło: chronyd (Stratum 2); eIDAS dla R-BOM.</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Layer</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API (Policy Engine).</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Tier</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1 (konstytucyjna). Przejrzystość wobec interesariuszy.</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Break-Glass</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RADIOACTIVE.</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Remediation</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SHOW_COUNTDOWN(/methodology/consultation/[id]).</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Funkcja CE</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Audit (timer + log).</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Faza MVP</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0.</w:t>
            </w:r>
          </w:p>
        </w:tc>
      </w:tr>
    </w:tbl>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9026"/>
            <w:gridSpan w:val="2"/>
            <w:tcBorders>
              <w:top w:val="single" w:color="D0D0D0" w:sz="1"/>
              <w:left w:val="single" w:color="D0D0D0" w:sz="1"/>
              <w:bottom w:val="single" w:color="D0D0D0" w:sz="1"/>
              <w:right w:val="single" w:color="D0D0D0" w:sz="1"/>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NK-010  </w:t>
            </w:r>
            <w:r>
              <w:rPr>
                <w:rFonts w:ascii="Arial" w:cs="Arial" w:eastAsia="Arial" w:hAnsi="Arial"/>
                <w:color w:val="FFFFFF"/>
                <w:sz w:val="20"/>
                <w:szCs w:val="20"/>
              </w:rPr>
              <w:t xml:space="preserve">Klasyfikacja poufności</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Źródło</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§9 ust. 5 Statutu. ISO 27001 A.5.12. ISO 9001 7.5.</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Trigger</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document.finalize() OR document.share() AND document.classification == null. Dokumenty w trakcie edycji (auto-save) domyślnie dziedziczą status „zastrzeżony” i nie blokują interfejsu</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Action</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BLOCK. Bulk Classification + dziedziczenie: dokumenty dziedziczą klasyfikację z folderu nadnadrzędnego (np. rating folder) lub Data Trust Envelope. Nadpisanie per plik.</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Target</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Każdy dokument wprowadzany do systemu.</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Layer</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Frontend (Hard Gate UI) + API.</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Tier</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2 (operacyjna).</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Break-Glass</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STANDARD.</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Remediation</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TRIGGER_MODAL(/document/classify) z opcją bulk.</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Funkcja CE</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RBAC.</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Faza MVP</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0.</w:t>
            </w:r>
          </w:p>
        </w:tc>
      </w:tr>
    </w:tbl>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9026"/>
            <w:gridSpan w:val="2"/>
            <w:tcBorders>
              <w:top w:val="single" w:color="D0D0D0" w:sz="1"/>
              <w:left w:val="single" w:color="D0D0D0" w:sz="1"/>
              <w:bottom w:val="single" w:color="D0D0D0" w:sz="1"/>
              <w:right w:val="single" w:color="D0D0D0" w:sz="1"/>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NK-011  </w:t>
            </w:r>
            <w:r>
              <w:rPr>
                <w:rFonts w:ascii="Arial" w:cs="Arial" w:eastAsia="Arial" w:hAnsi="Arial"/>
                <w:color w:val="FFFFFF"/>
                <w:sz w:val="20"/>
                <w:szCs w:val="20"/>
              </w:rPr>
              <w:t xml:space="preserve">Zakaz darowizn od podmiotu ocenianego</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Źródło</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§10 ust. 8 Statutu. ISO 37001. ISO 37301.</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Trigger</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donation.register(donor) AND (evaluationRegistry.isCurrentlyEvaluated(donor) OR evaluationRegistry.wasEvaluatedWithin(donor, 12_MONTHS) OR donor.getAffiliates() INTERSECTS evaluationRegistry.currentlyEvaluated())</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Action</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BLOCK + REQUIRE_APPROVAL(izba.przewodniczacy). Jeśli środki już wpłynęły: konto księgowe „Do wyjaśnienia / Zwrot” + alert Izba.</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Target</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Proces: rejestracja darowizny. Obejmuje powiązania kapitałowe (spółki-córki, fundacje grupy). Synchroniczny Hard Gate: bezpośredni dawca z lokalnej bazy. Asynchroniczny check: powiązania kapitałowe (API KRS/CRBR) tuż po wpłacie — wykrycie = mrożenie środków. Graceful Degradation: jeśli API zewnętrzne niedostępne → operacja trafia do strefy PENDING_EXTERNAL_VERIFICATION (nie Fail-Closed) i jest zwalniana asynchronicznie. TOCTOU protection: status PENDING na encji automatycznie zawiesza publikację ratingu dla tej encji (Hard Gate w NK-017) do czasu rezolucji. Definicja powiązań: przepisy AML + CRBR. Continuous KYC: system co kwartał odpytuje CRBR/KRS dla historycznych donacji z ostatnich 36 miesięcy. Wykrycie powiązania weryfikowane w trybie Point-in-Time: stan powiązań w dniu darowizny ORAZ w dniu wydania ratingu (nie stan bieżący dla historycznych zdarzeń). Powiązanie powstałe po dacie donacji = potencjalny konflikt przyszły (WARN), nie retroaktywny (BLOCK). Fast-Track Resolution: jeśli alert to False Positive (np. zbieżność nazwisk), odblokowanie wymaga Maker-Checker (NK-005): Oficer Compliance przygotowuje analizę (Maker) → Przewodniczący Izby zatwierdza zdjęcie blokady (Checker). Zawsze dwie osoby — zapobiega wektorowi korupcji.</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Timer</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12-miesięczny cooling-off (Hard Gate BLOCK). Dodatkowo: Soft Gate WARN + REQ_JUST aktywny między 12 a 36 miesiącem od ewaluacji, wymagający dodatkowego audytu Izby. Zmniejsza ryzyko zarzutu odroczonej płatności za rating (IOSCO).</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Sanctions</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Rozszerzenie: donor lub UBO na liście sankcyjnej (OFAC/EU Sanctions) = natychmiastowy BLOCK operacji finansowych i ewaluacyjnych + alert Zarząd. Wymaga integracji z API list sankcyjnych (Faza 1).</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Layer</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API (Policy Engine).</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Tier</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1 (konstytucyjna). Niezależność finansowa.</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Break-Glass</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RADIOACTIVE.</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Remediation</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REDIRECT(/izba/approval/donation/[id]).</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Funkcja CE</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Conflict.</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Faza MVP</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0.</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Disclosure</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Jawny rejestr zgod Izby na przyjęcie darowizn (public disclosure log) dostępny na stronie Fundacji Certo.</w:t>
            </w:r>
          </w:p>
        </w:tc>
      </w:tr>
    </w:tbl>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9026"/>
            <w:gridSpan w:val="2"/>
            <w:tcBorders>
              <w:top w:val="single" w:color="D0D0D0" w:sz="1"/>
              <w:left w:val="single" w:color="D0D0D0" w:sz="1"/>
              <w:bottom w:val="single" w:color="D0D0D0" w:sz="1"/>
              <w:right w:val="single" w:color="D0D0D0" w:sz="1"/>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NK-012  </w:t>
            </w:r>
            <w:r>
              <w:rPr>
                <w:rFonts w:ascii="Arial" w:cs="Arial" w:eastAsia="Arial" w:hAnsi="Arial"/>
                <w:color w:val="FFFFFF"/>
                <w:sz w:val="20"/>
                <w:szCs w:val="20"/>
              </w:rPr>
              <w:t xml:space="preserve">Ujawnianie relacji licencyjnej</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Źródło</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§8 ust. 15 Statutu. ISO 37301 (disclosure). IOSCO (conflicts).</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Trigger</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rating.publish() AND rating.entity.hasLicenseRelation(certo) AND !rating.disclosureStatement</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Action</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BLOCK.</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Target</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Proces: publikacja ratingu. Encja: podmiot z relacją licencyjną.</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Layer</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API (Policy Engine).</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Tier</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1 (konstytucyjna). Przejrzystość.</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Break-Glass</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RADIOACTIVE.</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Remediation</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TRIGGER_MODAL(/rating/[id]/disclosure).</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Funkcja CE</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Conflict.</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Faza MVP</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0.</w:t>
            </w:r>
          </w:p>
        </w:tc>
      </w:tr>
    </w:tbl>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9026"/>
            <w:gridSpan w:val="2"/>
            <w:tcBorders>
              <w:top w:val="single" w:color="D0D0D0" w:sz="1"/>
              <w:left w:val="single" w:color="D0D0D0" w:sz="1"/>
              <w:bottom w:val="single" w:color="D0D0D0" w:sz="1"/>
              <w:right w:val="single" w:color="D0D0D0" w:sz="1"/>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NK-013  </w:t>
            </w:r>
            <w:r>
              <w:rPr>
                <w:rFonts w:ascii="Arial" w:cs="Arial" w:eastAsia="Arial" w:hAnsi="Arial"/>
                <w:color w:val="FFFFFF"/>
                <w:sz w:val="20"/>
                <w:szCs w:val="20"/>
              </w:rPr>
              <w:t xml:space="preserve">Click-wrap: akceptacja polityk IMS</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Źródło</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ISO 37301 (awareness). ISO 27001 Annex A.6.3 (awareness training). ISO 9001 7.3.</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Trigger</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user.login() AND policyAcceptance.version &lt; currentPolicy.version AND daysSincePolicyUpdate &gt; 7. Grace period 7 dni: przez pierwszy tydzień WARN, po 7 dniach BLOCK. Zapobiega login block cascade.</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Action</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BLOCK. Hard Gate: „Wymagana akceptacja polityk IMS (wersja [X]) przed kontynuacją.”</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Target</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Każdy użytkownik. Kontekst: logowanie, zmiana roli.</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Layer</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Frontend (Hard Gate UI) + API (walidacja sesji).</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Tier</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2 (operacyjna).</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Break-Glass</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STANDARD (np. awaria systemu polityk — użytkownik może działać z logowaniem post-factum).</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Remediation</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TRIGGER_MODAL(/policies/accept) — modal z pełnym tekstem polityki i przyciskiem akceptacji.</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Funkcja CE</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RBAC (sesja).</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Faza MVP</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0.</w:t>
            </w:r>
          </w:p>
        </w:tc>
      </w:tr>
    </w:tbl>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9026"/>
            <w:gridSpan w:val="2"/>
            <w:tcBorders>
              <w:top w:val="single" w:color="D0D0D0" w:sz="1"/>
              <w:left w:val="single" w:color="D0D0D0" w:sz="1"/>
              <w:bottom w:val="single" w:color="D0D0D0" w:sz="1"/>
              <w:right w:val="single" w:color="D0D0D0" w:sz="1"/>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NK-014  </w:t>
            </w:r>
            <w:r>
              <w:rPr>
                <w:rFonts w:ascii="Arial" w:cs="Arial" w:eastAsia="Arial" w:hAnsi="Arial"/>
                <w:color w:val="FFFFFF"/>
                <w:sz w:val="20"/>
                <w:szCs w:val="20"/>
              </w:rPr>
              <w:t xml:space="preserve">Delegate draft-only writes</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Źródło</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§8 ust. 20 Statutu. ISO 42001. ISO 27001 (integrity). EU AI Act art. 14.</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Trigger</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delegate.write(table) AND table != 'draft_actions'</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Action</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BLOCK. Log: „Delegat próbował zapisać do [table]. Zablokowany.”</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Target</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Rola: Delegat AI. Każda operacja zapisu.</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Layer</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API (Policy Engine) + DB (dedykowane konto ai_delegate_role — szczegóły w Deliverable B).</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Tier</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1 (konstytucyjna). Kontrola nad AI.</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Break-Glass</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RADIOACTIVE. Użycie automatycznie zawiesza wszystkie drafty Delegata.</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Remediation</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Alert do Admin Bezpieczeństwa (reguła systemowa).</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Funkcja CE</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RBAC.</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Faza MVP</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0.</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AI Watermark</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Każde działanie Delegata oznaczane metadanym „ai_generated: true” w Audit Ledger i UI. Transparency: oznaczenie przechodzi do Raportu Ratingowego (AI Act art. 50). Ochrona przed automation bias: UI wymusza Read-Time-Friction — Mocodawca musi zaznaczyć kluczowe checkboxy weryfikacyjne (np. „Zweryfikowałem wniosek X”, „Sprawdziłem dowód Y”) i zaakceptować metryki AI Confidence Score. Audit Trail loguje czas i interakcje. Sam timer to za mało (obejście: czekanie 61s).</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Read Boundary</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Rola ai_delegate_role: RLS zakazujący SELECT do tabel infrastrukturalnych (audit_events, policies) oraz danych spraw nieprzypisanych do kontekstu Mocodawcy. Ochrona przed data exfiltration.</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Prompt-Data Separation</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Architektura wywołań LLM gwarantuje separację instrukcji systemowych (System Prompt) od danych wejściowych (User Content) przez strukturalne API (role system/user). Wykrycie słów kluczowych jailbreaków w plikach podmiotu automatycznie flaguje dokument do weryfikacji ręcznej: [POTENTIAL PROMPT INJECTION DETECTED].</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Wersjonowanie</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Poprawki Delegata nie nadpisują starych draftów — generują nowe wiersze (insert-only versioning). UI grupuje i wyświetla najnowszą wersję.</w:t>
            </w:r>
          </w:p>
        </w:tc>
      </w:tr>
    </w:tbl>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9026"/>
            <w:gridSpan w:val="2"/>
            <w:tcBorders>
              <w:top w:val="single" w:color="D0D0D0" w:sz="1"/>
              <w:left w:val="single" w:color="D0D0D0" w:sz="1"/>
              <w:bottom w:val="single" w:color="D0D0D0" w:sz="1"/>
              <w:right w:val="single" w:color="D0D0D0" w:sz="1"/>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NK-015  </w:t>
            </w:r>
            <w:r>
              <w:rPr>
                <w:rFonts w:ascii="Arial" w:cs="Arial" w:eastAsia="Arial" w:hAnsi="Arial"/>
                <w:color w:val="FFFFFF"/>
                <w:sz w:val="20"/>
                <w:szCs w:val="20"/>
              </w:rPr>
              <w:t xml:space="preserve">Audit Trail: append-only</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Źródło</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ISO 27001 A.8.15. ISO 37301. §8 ust. 8 Statutu.</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Trigger</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ANY UPDATE / DELETE / TRUNCATE ON audit_events</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Action</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BLOCK na poziomie bazy danych. Alert do Admin Bezpieczeństwa.</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Target</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Tabela: audit_events.</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Layer</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DB (Postgres Trigger + RLS + REVOKE UPDATE, DELETE, TRUNCATE). Komendy DDL ograniczone do roli CI/CD. Szczegóły w Deliverable B.</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Tier</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1 (konstytucyjna). Integralność systemu.</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Break-Glass</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RADIOACTIVE.</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Remediation</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Alert + incydent bezpieczeństwa.</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Funkcja CE</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Audit.</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Faza MVP</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0.</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Superuser</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root/DBA credentials w Secrets Manager z rotacją. Dual control (2 admin). SIEM/CloudTrail. WORM S3.</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Ownership</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Tabela audit_events jest własnością roli infrastrukturalnej (audit_admin). Serwer aplikacyjny łączy się jako app_user z wyłącznym INSERT. Ownership separation = REVOKE działa nawet bez BYPASSRLS.</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RODO art. 17</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Dane osobowe w logach szyfrowane unikalnym kluczem KMS per użytkownik/sprawa. Usunięcie danych = usunięcie klucza (crypto-shredding). Log staje się nieczytelnym szumem, ale łańcuch hashów pozostaje nienaruszony. Zgodne z RODO bez łamania append-only.</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RODO art. 16</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Sprostowanie danych: błędny log pozostaje nienaruszony (łańcuch hashów). System dodaje nowy wpis ze statusem CORRECTION. Warstwa widoku (Read Model) nakłada poprawkę na stary zapis. Oryginalna i skorygowana wersja widoczne w Audit Trail.</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Cross-Account</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Logi zapisywane synchronicznie w Postgres (app_user bez DELETE), wypychane asynchronicznie (Kinesis/Kafka) do niezależnego konta chmurowego (Certo Vault Account). Nikt w Spółce ID nie ma uprawnień zapisu/usunięcia w Vault — wyłącznie odczyt przez Izbę Nadzoru. DBA operuje wyłącznie przez sesje uprzywilejowane (PAM/Bastion) z nagrywaniem sesji i dual-authorization.</w:t>
            </w:r>
          </w:p>
        </w:tc>
      </w:tr>
    </w:tbl>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9026"/>
            <w:gridSpan w:val="2"/>
            <w:tcBorders>
              <w:top w:val="single" w:color="D0D0D0" w:sz="1"/>
              <w:left w:val="single" w:color="D0D0D0" w:sz="1"/>
              <w:bottom w:val="single" w:color="D0D0D0" w:sz="1"/>
              <w:right w:val="single" w:color="D0D0D0" w:sz="1"/>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NK-016  </w:t>
            </w:r>
            <w:r>
              <w:rPr>
                <w:rFonts w:ascii="Arial" w:cs="Arial" w:eastAsia="Arial" w:hAnsi="Arial"/>
                <w:color w:val="FFFFFF"/>
                <w:sz w:val="20"/>
                <w:szCs w:val="20"/>
              </w:rPr>
              <w:t xml:space="preserve">Data Retention</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Źródło</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ISO 27001 A.5.13. RODO art. 5(1)(e) (ograniczenie przechowywania).</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Trigger</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document.classification IN (poufny, zastrzeżony) AND case.closedDate + retentionPeriod(document.category) &lt; now()</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Action</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BLOCK dostępu analityków. Przeniesienie do strefy kwarantanny. Usunięcie/anonimizacja techniczna przez Data Owner/IT po autoryzacji DPO w 30 dni (Separation of Duties: DPO nadzoruje, IT wykonuje). WARN przy 11 miesięcy przed terminem.</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Target</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Dokumenty poufne/zastrzeżone w zamkniętych sprawach.</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Layer</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API + DB (automatyczna kwarantanna).</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Tier</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1 (konstytucyjna). RODO.</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Break-Glass</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RADIOACTIVE (otwarcie dostępu do starych danych = ryzyko kary UODO).</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Remediation</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REDIRECT(/dpo/retention-review/[doc_id]).</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Funkcja CE</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Audit (lifecycle).</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Faza MVP</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1.</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Retencja</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Nie hardkodowane 5 lat. Okres określony w Tabeli Retencji Danych per kategoria dokumentu (uwzględnia polskie terminy przedawnienia od końca roku kalendarzowego).</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Cascade Vector Deletion</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Zniszczenie klucza dokumentu lub kwarantanna automatycznie usuwa odpowiadające wektory (chunks/embeddings) z bazy wektorowej Delegata AI. Baza wektorowa musi wspierać document-level TTL i tenant isolation. Zapobiega wyciekowi „wiedzy” AI o usuniętych dokumentach.</w:t>
            </w:r>
          </w:p>
        </w:tc>
      </w:tr>
    </w:tbl>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9026"/>
            <w:gridSpan w:val="2"/>
            <w:tcBorders>
              <w:top w:val="single" w:color="D0D0D0" w:sz="1"/>
              <w:left w:val="single" w:color="D0D0D0" w:sz="1"/>
              <w:bottom w:val="single" w:color="D0D0D0" w:sz="1"/>
              <w:right w:val="single" w:color="D0D0D0" w:sz="1"/>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NK-017  </w:t>
            </w:r>
            <w:r>
              <w:rPr>
                <w:rFonts w:ascii="Arial" w:cs="Arial" w:eastAsia="Arial" w:hAnsi="Arial"/>
                <w:color w:val="FFFFFF"/>
                <w:sz w:val="20"/>
                <w:szCs w:val="20"/>
              </w:rPr>
              <w:t xml:space="preserve">Methodology Version Lock</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Źródło</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Normy Zewnętrzne 5.6. R-BOM. §13 Statutu.</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Trigger</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rating.publish() AND rating.methodologyVersion == null</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Action</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BLOCK. Każdy rating musi być powiązany z konkretną wersją metodologii. Klucz reprodukowalności.</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Target</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Proces: publikacja ratingu.</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Layer</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API (Policy Engine).</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Tier</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1 (konstytucyjna). Reprodukowalność ratingu.</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Break-Glass</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RADIOACTIVE (publikacja bez wersji metodologii = rating nieodtwarzalny).</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Remediation</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SHOW_LIST(/methodology/versions) — wybór wersji metodologii.</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Funkcja CE</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Audit (R-BOM).</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Faza MVP</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0.</w:t>
            </w:r>
          </w:p>
        </w:tc>
      </w:tr>
    </w:tbl>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9026"/>
            <w:gridSpan w:val="2"/>
            <w:tcBorders>
              <w:top w:val="single" w:color="D0D0D0" w:sz="1"/>
              <w:left w:val="single" w:color="D0D0D0" w:sz="1"/>
              <w:bottom w:val="single" w:color="D0D0D0" w:sz="1"/>
              <w:right w:val="single" w:color="D0D0D0" w:sz="1"/>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NK-018  </w:t>
            </w:r>
            <w:r>
              <w:rPr>
                <w:rFonts w:ascii="Arial" w:cs="Arial" w:eastAsia="Arial" w:hAnsi="Arial"/>
                <w:color w:val="FFFFFF"/>
                <w:sz w:val="20"/>
                <w:szCs w:val="20"/>
              </w:rPr>
              <w:t xml:space="preserve">Source Data Mutation Detection</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Źródło</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R-BOM. ISO 27001 A.8.9 (integrity). Normy Zewnętrzne 5.11.</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Trigger</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rating.publish() AND rating.dataHash != frozenSnapshotHash. Weryfikacja integralności danych wewnątrz izolowanego WORM storage Certo (nie danych produkcyjnych klienta). Dane na WORM wchodzą wyłącznie przez Envelope Encryption (KEK per sprawa). Usunięcie danych RODO = zniszczenie klucza w KMS/HSM (crypto-shredding) bez naruszania blokad WORM. Zmiana danych po stronie podmiotu po dacie snapshotu ewaluacyjnego nie wpływa na hash R-BOM. Nightly scan opublikowanych ratingów. Wyjątek: dane ze statusem LEGALLY_SHREDDED (NK-016) są pomijane — system weryfikuje jedynie certyfikat zniszczenia klucza</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Action</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Rating widoczny ze statusem UNDER REVIEW + ALERT Izba Nadzoru. Wykrywa manipulację danymi źródłowymi po wydaniu ratingu. Nie ukrywa ratingu przed rynkiem — oznacza go flagą do weryfikacji.</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Target</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Każdy opublikowany rating.</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Layer</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API (walidacja hash przy wyświetlaniu).</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Tier</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1 (konstytucyjna). Integralność danych źródłowych.</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Break-Glass</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RADIOACTIVE (wyświetlanie ratingu ze zmienionymi danymi = kryzys reputacyjny).</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Remediation</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SHOW_MESSAGE(„Rating wstrzymany — wykryto zmianę danych źródłowych”) + alert do Izby.</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Funkcja CE</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Audit (integralność).</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Faza MVP</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1.</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9026"/>
            <w:gridSpan w:val="2"/>
            <w:tcBorders>
              <w:top w:val="single" w:color="D0D0D0" w:sz="1"/>
              <w:left w:val="single" w:color="D0D0D0" w:sz="1"/>
              <w:bottom w:val="single" w:color="D0D0D0" w:sz="1"/>
              <w:right w:val="single" w:color="D0D0D0" w:sz="1"/>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NK-021  </w:t>
            </w:r>
            <w:r>
              <w:rPr>
                <w:rFonts w:ascii="Arial" w:cs="Arial" w:eastAsia="Arial" w:hAnsi="Arial"/>
                <w:color w:val="FFFFFF"/>
                <w:sz w:val="20"/>
                <w:szCs w:val="20"/>
              </w:rPr>
              <w:t xml:space="preserve">Evidence Materiality (Rating Revision)</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Źródło</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Deliverable C — W7 Rating Revision. ISO 37301 (transparent correction). IOSCO (rating revision transparency).</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Warunek</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Nowy dowód (zatajony konflikt, korekta sprawozdań, wyrok sądu) zmienia wynik powyżej progu tolerancji lub dotyczy Twardego Naruszenia.</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Akcja</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BLOCK jeśli dowód niematerialny (zmiana &lt; próg) → ADDENDUM (aneks informacyjny, nie pełna korekta). ALLOW jeśli materialny.</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Tier</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1 (RADIOACTIVE). Korekta wymaga NK-005 Wzmocniony (Checker = Izba/Kolegium).</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Break-Glass</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RADIOACTIVE — nie można ominąć Break-Glassem. Próg materialn. definiowany w metodologii.</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Remediation</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SHOW_MESSAGE(„Dowód niematerialny — dodaj jako ADDENDUM”). Stary rating → SUPERSEDED (nigdy kasowany). Nowy R-BOM zawiera supersedes_rbom_hash.</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Funkcja CE</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Audit (integralność + transparentność korekt).</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Faza MVP</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0 (Sprint 0).</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9026"/>
            <w:gridSpan w:val="2"/>
            <w:tcBorders>
              <w:top w:val="single" w:color="D0D0D0" w:sz="1"/>
              <w:left w:val="single" w:color="D0D0D0" w:sz="1"/>
              <w:bottom w:val="single" w:color="D0D0D0" w:sz="1"/>
              <w:right w:val="single" w:color="D0D0D0" w:sz="1"/>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NK-022  </w:t>
            </w:r>
            <w:r>
              <w:rPr>
                <w:rFonts w:ascii="Arial" w:cs="Arial" w:eastAsia="Arial" w:hAnsi="Arial"/>
                <w:color w:val="FFFFFF"/>
                <w:sz w:val="20"/>
                <w:szCs w:val="20"/>
              </w:rPr>
              <w:t xml:space="preserve">Funding Independence Gate</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Źródło</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IOSCO (conflict of interest). EU ESG Ratings Regulation 2024/3005. §8 ust. 15, §9 Statutu.</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Warunek</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Podmiot oceniany (entity) należy do funding_influence_graph: darczyńcy, sponsorzy, grantodawcy, podmioty kontrolowane przez darczyńców, podmioty kontrolujące darczyńców (36 mies.).</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Akcja</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BLOCK publikacji ratingu LUB REQUIRE_DISCLOSURE: jawne oświadczenie Funding Independence Statement w R-BOM i przy ratingu.</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Tier</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1 (RADIOACTIVE). Najwyższe ryzyko reputacyjne systemu ratingowego.</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Break-Glass</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RADIOACTIVE — nie można ominąć. Conflict of interest między finansowaniem a ratingiem = fundament wiarygodności.</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Remediation</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SHOW_DISCLOSURE(„Entity belongs to group that previously donated to Certo. Rating issued with full independence under NK-022 review.”). R-BOM: funding_conflict_check + funding_links_detected.</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Funkcja CE</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Conflict (niezależność finansowa).</w:t>
            </w:r>
          </w:p>
        </w:tc>
      </w:tr>
      <w:tr>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bCs/>
                <w:sz w:val="18"/>
                <w:szCs w:val="18"/>
              </w:rPr>
              <w:t xml:space="preserve">Faza MVP</w:t>
            </w:r>
          </w:p>
        </w:tc>
        <w:tc>
          <w:tcPr>
            <w:tcW w:type="dxa" w:w="72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0 (Sprint 0).</w:t>
            </w:r>
          </w:p>
        </w:tc>
      </w:tr>
    </w:tbl>
    <w:p>
      <w:r>
        <w:br w:type="page"/>
      </w:r>
    </w:p>
    <w:p>
      <w:pPr>
        <w:pStyle w:val="Heading1"/>
      </w:pPr>
      <w:r>
        <w:t xml:space="preserve">3. Soft Gates (NK-019–NK-040)</w:t>
      </w:r>
    </w:p>
    <w:p>
      <w:pPr>
        <w:spacing w:after="120"/>
      </w:pPr>
      <w:r>
        <w:rPr>
          <w:rFonts w:ascii="Arial" w:cs="Arial" w:eastAsia="Arial" w:hAnsi="Arial"/>
          <w:sz w:val="22"/>
          <w:szCs w:val="22"/>
        </w:rPr>
        <w:t xml:space="preserve">Reguły logowane + wymagające oświadczenia człowieka. Krytyczne Soft Gates używają akcji REQUIRE_JUSTIFICATION ze strukturyzowaną walidacją: predefiniowana lista ryzyk (dropdown) + pole „Inne” (min. 20 znaków). Jeśli użycie „Inne” w danej regule przekracza 15% w kwartale → obowiązkowa aktualizacja listy dropdown (Continuous UX Improvement). Generuje lepsze dane analityczne niż wolny tekst i zapobiega ślepocie banerowej (Alert Fatigue, ISO 37301).</w:t>
      </w:r>
    </w:p>
    <w:p>
      <w:pPr>
        <w:spacing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200"/>
        <w:gridCol w:w="1800"/>
        <w:gridCol w:w="2326"/>
      </w:tblGrid>
      <w:tr>
        <w:tc>
          <w:tcPr>
            <w:tcW w:type="dxa" w:w="900"/>
            <w:tcBorders>
              <w:top w:val="single" w:color="D0D0D0" w:sz="1"/>
              <w:left w:val="single" w:color="D0D0D0" w:sz="1"/>
              <w:bottom w:val="single" w:color="D0D0D0" w:sz="1"/>
              <w:right w:val="single" w:color="D0D0D0"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800"/>
            <w:tcBorders>
              <w:top w:val="single" w:color="D0D0D0" w:sz="1"/>
              <w:left w:val="single" w:color="D0D0D0" w:sz="1"/>
              <w:bottom w:val="single" w:color="D0D0D0" w:sz="1"/>
              <w:right w:val="single" w:color="D0D0D0"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Nazwa</w:t>
            </w:r>
          </w:p>
        </w:tc>
        <w:tc>
          <w:tcPr>
            <w:tcW w:type="dxa" w:w="2200"/>
            <w:tcBorders>
              <w:top w:val="single" w:color="D0D0D0" w:sz="1"/>
              <w:left w:val="single" w:color="D0D0D0" w:sz="1"/>
              <w:bottom w:val="single" w:color="D0D0D0" w:sz="1"/>
              <w:right w:val="single" w:color="D0D0D0"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Źródło</w:t>
            </w:r>
          </w:p>
        </w:tc>
        <w:tc>
          <w:tcPr>
            <w:tcW w:type="dxa" w:w="1800"/>
            <w:tcBorders>
              <w:top w:val="single" w:color="D0D0D0" w:sz="1"/>
              <w:left w:val="single" w:color="D0D0D0" w:sz="1"/>
              <w:bottom w:val="single" w:color="D0D0D0" w:sz="1"/>
              <w:right w:val="single" w:color="D0D0D0"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Akcja</w:t>
            </w:r>
          </w:p>
        </w:tc>
        <w:tc>
          <w:tcPr>
            <w:tcW w:type="dxa" w:w="2326"/>
            <w:tcBorders>
              <w:top w:val="single" w:color="D0D0D0" w:sz="1"/>
              <w:left w:val="single" w:color="D0D0D0" w:sz="1"/>
              <w:bottom w:val="single" w:color="D0D0D0" w:sz="1"/>
              <w:right w:val="single" w:color="D0D0D0"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Opis</w:t>
            </w:r>
          </w:p>
        </w:tc>
      </w:tr>
      <w:tr>
        <w:tc>
          <w:tcPr>
            <w:tcW w:type="dxa" w:w="9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NK-019</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Separacja analityczna</w:t>
            </w:r>
          </w:p>
        </w:tc>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§15 ust. 10</w:t>
            </w:r>
          </w:p>
        </w:tc>
        <w:tc>
          <w:tcPr>
            <w:tcW w:type="dxa" w:w="1800"/>
            <w:tcBorders>
              <w:top w:val="single" w:color="D0D0D0" w:sz="1"/>
              <w:left w:val="single" w:color="D0D0D0" w:sz="1"/>
              <w:bottom w:val="single" w:color="D0D0D0" w:sz="1"/>
              <w:right w:val="single" w:color="D0D0D0" w:sz="1"/>
            </w:tcBorders>
            <w:shd w:fill="FAEEDA" w:val="clear"/>
            <w:tcMar>
              <w:top w:type="dxa" w:w="80"/>
              <w:left w:type="dxa" w:w="120"/>
              <w:bottom w:type="dxa" w:w="80"/>
              <w:right w:type="dxa" w:w="120"/>
            </w:tcMar>
          </w:tcPr>
          <w:p>
            <w:r>
              <w:rPr>
                <w:rFonts w:ascii="Arial" w:cs="Arial" w:eastAsia="Arial" w:hAnsi="Arial"/>
                <w:b w:val="false"/>
                <w:bCs w:val="false"/>
                <w:sz w:val="18"/>
                <w:szCs w:val="18"/>
              </w:rPr>
              <w:t xml:space="preserve">WARN</w:t>
            </w:r>
          </w:p>
        </w:tc>
        <w:tc>
          <w:tcPr>
            <w:tcW w:type="dxa" w:w="23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Centrum Analiz widzi tylko dane zagregowane. Dostęp do indywidualnych ratingów → ostrzeżenie + log.</w:t>
            </w:r>
          </w:p>
        </w:tc>
      </w:tr>
      <w:tr>
        <w:tc>
          <w:tcPr>
            <w:tcW w:type="dxa" w:w="9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NK-020</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Aktualność RoI</w:t>
            </w:r>
          </w:p>
        </w:tc>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§8 ust. 19, ISO 37001</w:t>
            </w:r>
          </w:p>
        </w:tc>
        <w:tc>
          <w:tcPr>
            <w:tcW w:type="dxa" w:w="1800"/>
            <w:tcBorders>
              <w:top w:val="single" w:color="D0D0D0" w:sz="1"/>
              <w:left w:val="single" w:color="D0D0D0" w:sz="1"/>
              <w:bottom w:val="single" w:color="D0D0D0" w:sz="1"/>
              <w:right w:val="single" w:color="D0D0D0" w:sz="1"/>
            </w:tcBorders>
            <w:shd w:fill="EAF3DE" w:val="clear"/>
            <w:tcMar>
              <w:top w:type="dxa" w:w="80"/>
              <w:left w:type="dxa" w:w="120"/>
              <w:bottom w:type="dxa" w:w="80"/>
              <w:right w:type="dxa" w:w="120"/>
            </w:tcMar>
          </w:tcPr>
          <w:p>
            <w:r>
              <w:rPr>
                <w:rFonts w:ascii="Arial" w:cs="Arial" w:eastAsia="Arial" w:hAnsi="Arial"/>
                <w:b w:val="false"/>
                <w:bCs w:val="false"/>
                <w:sz w:val="18"/>
                <w:szCs w:val="18"/>
              </w:rPr>
              <w:t xml:space="preserve">WARN/BLOCK</w:t>
            </w:r>
          </w:p>
        </w:tc>
        <w:tc>
          <w:tcPr>
            <w:tcW w:type="dxa" w:w="23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RoI nieaktualizowany &gt;90 dni → WARN. &gt;120 dni → HARD BLOCK na pobieranie nowych spraw i publikację ratingów. Drafty i praca wewnętrzna nadal dozwolone. Odblokowanie: odświeżenie RoI w systemie.</w:t>
            </w:r>
          </w:p>
        </w:tc>
      </w:tr>
      <w:tr>
        <w:tc>
          <w:tcPr>
            <w:tcW w:type="dxa" w:w="9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NK-041</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Zwołanie posiedzenia</w:t>
            </w:r>
          </w:p>
        </w:tc>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§23 ust. 2</w:t>
            </w:r>
          </w:p>
        </w:tc>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val="false"/>
                <w:bCs w:val="false"/>
                <w:sz w:val="18"/>
                <w:szCs w:val="18"/>
              </w:rPr>
              <w:t xml:space="preserve">REQ_JUST</w:t>
            </w:r>
          </w:p>
        </w:tc>
        <w:tc>
          <w:tcPr>
            <w:tcW w:type="dxa" w:w="23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Posiedzenie &lt;3 dni. Dropdown: [Kryzys wizerunkowy] [Interwencja regulatora] [Wniosek Trybunału] [Inne]. Log do Audit Ledger.</w:t>
            </w:r>
          </w:p>
        </w:tc>
      </w:tr>
      <w:tr>
        <w:tc>
          <w:tcPr>
            <w:tcW w:type="dxa" w:w="9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NK-022</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Głosowanie jawne</w:t>
            </w:r>
          </w:p>
        </w:tc>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§21 ust. 2</w:t>
            </w:r>
          </w:p>
        </w:tc>
        <w:tc>
          <w:tcPr>
            <w:tcW w:type="dxa" w:w="1800"/>
            <w:tcBorders>
              <w:top w:val="single" w:color="D0D0D0" w:sz="1"/>
              <w:left w:val="single" w:color="D0D0D0" w:sz="1"/>
              <w:bottom w:val="single" w:color="D0D0D0" w:sz="1"/>
              <w:right w:val="single" w:color="D0D0D0" w:sz="1"/>
            </w:tcBorders>
            <w:shd w:fill="EAF3DE" w:val="clear"/>
            <w:tcMar>
              <w:top w:type="dxa" w:w="80"/>
              <w:left w:type="dxa" w:w="120"/>
              <w:bottom w:type="dxa" w:w="80"/>
              <w:right w:type="dxa" w:w="120"/>
            </w:tcMar>
          </w:tcPr>
          <w:p>
            <w:r>
              <w:rPr>
                <w:rFonts w:ascii="Arial" w:cs="Arial" w:eastAsia="Arial" w:hAnsi="Arial"/>
                <w:b w:val="false"/>
                <w:bCs w:val="false"/>
                <w:sz w:val="18"/>
                <w:szCs w:val="18"/>
              </w:rPr>
              <w:t xml:space="preserve">LOG</w:t>
            </w:r>
          </w:p>
        </w:tc>
        <w:tc>
          <w:tcPr>
            <w:tcW w:type="dxa" w:w="23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Każde głosowanie jawne logowane z pełnym protokołem: kto, jak, kiedy.</w:t>
            </w:r>
          </w:p>
        </w:tc>
      </w:tr>
      <w:tr>
        <w:tc>
          <w:tcPr>
            <w:tcW w:type="dxa" w:w="9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NK-023</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Protokół posiedzenia</w:t>
            </w:r>
          </w:p>
        </w:tc>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§23 ust. 5, ISO 9001</w:t>
            </w:r>
          </w:p>
        </w:tc>
        <w:tc>
          <w:tcPr>
            <w:tcW w:type="dxa" w:w="1800"/>
            <w:tcBorders>
              <w:top w:val="single" w:color="D0D0D0" w:sz="1"/>
              <w:left w:val="single" w:color="D0D0D0" w:sz="1"/>
              <w:bottom w:val="single" w:color="D0D0D0" w:sz="1"/>
              <w:right w:val="single" w:color="D0D0D0" w:sz="1"/>
            </w:tcBorders>
            <w:shd w:fill="FCEBEB" w:val="clear"/>
            <w:tcMar>
              <w:top w:type="dxa" w:w="80"/>
              <w:left w:type="dxa" w:w="120"/>
              <w:bottom w:type="dxa" w:w="80"/>
              <w:right w:type="dxa" w:w="120"/>
            </w:tcMar>
          </w:tcPr>
          <w:p>
            <w:r>
              <w:rPr>
                <w:rFonts w:ascii="Arial" w:cs="Arial" w:eastAsia="Arial" w:hAnsi="Arial"/>
                <w:b w:val="false"/>
                <w:bCs w:val="false"/>
                <w:sz w:val="18"/>
                <w:szCs w:val="18"/>
              </w:rPr>
              <w:t xml:space="preserve">REQ_JUST</w:t>
            </w:r>
          </w:p>
        </w:tc>
        <w:tc>
          <w:tcPr>
            <w:tcW w:type="dxa" w:w="23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Posiedzenie bez protokołu. Dropdown: [Protokolant niedostępny] [Posiedzenie techniczne] [Inne]. Blokada następnego posiedzenia.</w:t>
            </w:r>
          </w:p>
        </w:tc>
      </w:tr>
      <w:tr>
        <w:tc>
          <w:tcPr>
            <w:tcW w:type="dxa" w:w="9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NK-024</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Kadencja członka</w:t>
            </w:r>
          </w:p>
        </w:tc>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§12–15</w:t>
            </w:r>
          </w:p>
        </w:tc>
        <w:tc>
          <w:tcPr>
            <w:tcW w:type="dxa" w:w="1800"/>
            <w:tcBorders>
              <w:top w:val="single" w:color="D0D0D0" w:sz="1"/>
              <w:left w:val="single" w:color="D0D0D0" w:sz="1"/>
              <w:bottom w:val="single" w:color="D0D0D0" w:sz="1"/>
              <w:right w:val="single" w:color="D0D0D0" w:sz="1"/>
            </w:tcBorders>
            <w:shd w:fill="FAEEDA" w:val="clear"/>
            <w:tcMar>
              <w:top w:type="dxa" w:w="80"/>
              <w:left w:type="dxa" w:w="120"/>
              <w:bottom w:type="dxa" w:w="80"/>
              <w:right w:type="dxa" w:w="120"/>
            </w:tcMar>
          </w:tcPr>
          <w:p>
            <w:r>
              <w:rPr>
                <w:rFonts w:ascii="Arial" w:cs="Arial" w:eastAsia="Arial" w:hAnsi="Arial"/>
                <w:b w:val="false"/>
                <w:bCs w:val="false"/>
                <w:sz w:val="18"/>
                <w:szCs w:val="18"/>
              </w:rPr>
              <w:t xml:space="preserve">WARN</w:t>
            </w:r>
          </w:p>
        </w:tc>
        <w:tc>
          <w:tcPr>
            <w:tcW w:type="dxa" w:w="23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60 dni przed wygaśnięciem → powiadomienie. 0 dni → NK-001 (BLOCK).</w:t>
            </w:r>
          </w:p>
        </w:tc>
      </w:tr>
      <w:tr>
        <w:tc>
          <w:tcPr>
            <w:tcW w:type="dxa" w:w="9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NK-025</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Max 2 kadencje Izba</w:t>
            </w:r>
          </w:p>
        </w:tc>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§12 ust. 3</w:t>
            </w:r>
          </w:p>
        </w:tc>
        <w:tc>
          <w:tcPr>
            <w:tcW w:type="dxa" w:w="1800"/>
            <w:tcBorders>
              <w:top w:val="single" w:color="D0D0D0" w:sz="1"/>
              <w:left w:val="single" w:color="D0D0D0" w:sz="1"/>
              <w:bottom w:val="single" w:color="D0D0D0" w:sz="1"/>
              <w:right w:val="single" w:color="D0D0D0" w:sz="1"/>
            </w:tcBorders>
            <w:shd w:fill="FAEEDA" w:val="clear"/>
            <w:tcMar>
              <w:top w:type="dxa" w:w="80"/>
              <w:left w:type="dxa" w:w="120"/>
              <w:bottom w:type="dxa" w:w="80"/>
              <w:right w:type="dxa" w:w="120"/>
            </w:tcMar>
          </w:tcPr>
          <w:p>
            <w:r>
              <w:rPr>
                <w:rFonts w:ascii="Arial" w:cs="Arial" w:eastAsia="Arial" w:hAnsi="Arial"/>
                <w:b w:val="false"/>
                <w:bCs w:val="false"/>
                <w:sz w:val="18"/>
                <w:szCs w:val="18"/>
              </w:rPr>
              <w:t xml:space="preserve">WARN</w:t>
            </w:r>
          </w:p>
        </w:tc>
        <w:tc>
          <w:tcPr>
            <w:tcW w:type="dxa" w:w="23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Członek Izby kończy 2. kadencję → system nie pozwala powołać na 3.</w:t>
            </w:r>
          </w:p>
        </w:tc>
      </w:tr>
      <w:tr>
        <w:tc>
          <w:tcPr>
            <w:tcW w:type="dxa" w:w="9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NK-026</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Przegląd metodologii 2L</w:t>
            </w:r>
          </w:p>
        </w:tc>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§13 ust. 12</w:t>
            </w:r>
          </w:p>
        </w:tc>
        <w:tc>
          <w:tcPr>
            <w:tcW w:type="dxa" w:w="1800"/>
            <w:tcBorders>
              <w:top w:val="single" w:color="D0D0D0" w:sz="1"/>
              <w:left w:val="single" w:color="D0D0D0" w:sz="1"/>
              <w:bottom w:val="single" w:color="D0D0D0" w:sz="1"/>
              <w:right w:val="single" w:color="D0D0D0" w:sz="1"/>
            </w:tcBorders>
            <w:shd w:fill="FAEEDA" w:val="clear"/>
            <w:tcMar>
              <w:top w:type="dxa" w:w="80"/>
              <w:left w:type="dxa" w:w="120"/>
              <w:bottom w:type="dxa" w:w="80"/>
              <w:right w:type="dxa" w:w="120"/>
            </w:tcMar>
          </w:tcPr>
          <w:p>
            <w:r>
              <w:rPr>
                <w:rFonts w:ascii="Arial" w:cs="Arial" w:eastAsia="Arial" w:hAnsi="Arial"/>
                <w:b w:val="false"/>
                <w:bCs w:val="false"/>
                <w:sz w:val="18"/>
                <w:szCs w:val="18"/>
              </w:rPr>
              <w:t xml:space="preserve">WARN</w:t>
            </w:r>
          </w:p>
        </w:tc>
        <w:tc>
          <w:tcPr>
            <w:tcW w:type="dxa" w:w="23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24 miesiące od przeglądu → alert do Zarządu i Kolegium.</w:t>
            </w:r>
          </w:p>
        </w:tc>
      </w:tr>
      <w:tr>
        <w:tc>
          <w:tcPr>
            <w:tcW w:type="dxa" w:w="9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NK-027</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Sposób głosowania</w:t>
            </w:r>
          </w:p>
        </w:tc>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§8 ust. 8 (Izba)</w:t>
            </w:r>
          </w:p>
        </w:tc>
        <w:tc>
          <w:tcPr>
            <w:tcW w:type="dxa" w:w="1800"/>
            <w:tcBorders>
              <w:top w:val="single" w:color="D0D0D0" w:sz="1"/>
              <w:left w:val="single" w:color="D0D0D0" w:sz="1"/>
              <w:bottom w:val="single" w:color="D0D0D0" w:sz="1"/>
              <w:right w:val="single" w:color="D0D0D0" w:sz="1"/>
            </w:tcBorders>
            <w:shd w:fill="EAF3DE" w:val="clear"/>
            <w:tcMar>
              <w:top w:type="dxa" w:w="80"/>
              <w:left w:type="dxa" w:w="120"/>
              <w:bottom w:type="dxa" w:w="80"/>
              <w:right w:type="dxa" w:w="120"/>
            </w:tcMar>
          </w:tcPr>
          <w:p>
            <w:r>
              <w:rPr>
                <w:rFonts w:ascii="Arial" w:cs="Arial" w:eastAsia="Arial" w:hAnsi="Arial"/>
                <w:b w:val="false"/>
                <w:bCs w:val="false"/>
                <w:sz w:val="18"/>
                <w:szCs w:val="18"/>
              </w:rPr>
              <w:t xml:space="preserve">LOG</w:t>
            </w:r>
          </w:p>
        </w:tc>
        <w:tc>
          <w:tcPr>
            <w:tcW w:type="dxa" w:w="23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Izba Nadzoru: głosowania w trybie tajnym przy sprawach personalnych.</w:t>
            </w:r>
          </w:p>
        </w:tc>
      </w:tr>
      <w:tr>
        <w:tc>
          <w:tcPr>
            <w:tcW w:type="dxa" w:w="9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NK-028</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Data Provenance: podpis</w:t>
            </w:r>
          </w:p>
        </w:tc>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Normy Zewn. 5.11</w:t>
            </w:r>
          </w:p>
        </w:tc>
        <w:tc>
          <w:tcPr>
            <w:tcW w:type="dxa" w:w="1800"/>
            <w:tcBorders>
              <w:top w:val="single" w:color="D0D0D0" w:sz="1"/>
              <w:left w:val="single" w:color="D0D0D0" w:sz="1"/>
              <w:bottom w:val="single" w:color="D0D0D0" w:sz="1"/>
              <w:right w:val="single" w:color="D0D0D0" w:sz="1"/>
            </w:tcBorders>
            <w:shd w:fill="FAEEDA" w:val="clear"/>
            <w:tcMar>
              <w:top w:type="dxa" w:w="80"/>
              <w:left w:type="dxa" w:w="120"/>
              <w:bottom w:type="dxa" w:w="80"/>
              <w:right w:type="dxa" w:w="120"/>
            </w:tcMar>
          </w:tcPr>
          <w:p>
            <w:r>
              <w:rPr>
                <w:rFonts w:ascii="Arial" w:cs="Arial" w:eastAsia="Arial" w:hAnsi="Arial"/>
                <w:b w:val="false"/>
                <w:bCs w:val="false"/>
                <w:sz w:val="18"/>
                <w:szCs w:val="18"/>
              </w:rPr>
              <w:t xml:space="preserve">WARN</w:t>
            </w:r>
          </w:p>
        </w:tc>
        <w:tc>
          <w:tcPr>
            <w:tcW w:type="dxa" w:w="23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Dokument bez podpisu eIDAS ani deklaracji → status „do weryfikacji ręcznej”.</w:t>
            </w:r>
          </w:p>
        </w:tc>
      </w:tr>
      <w:tr>
        <w:tc>
          <w:tcPr>
            <w:tcW w:type="dxa" w:w="9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NK-029</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Data Provenance: API</w:t>
            </w:r>
          </w:p>
        </w:tc>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Normy Zewn. 5.11</w:t>
            </w:r>
          </w:p>
        </w:tc>
        <w:tc>
          <w:tcPr>
            <w:tcW w:type="dxa" w:w="1800"/>
            <w:tcBorders>
              <w:top w:val="single" w:color="D0D0D0" w:sz="1"/>
              <w:left w:val="single" w:color="D0D0D0" w:sz="1"/>
              <w:bottom w:val="single" w:color="D0D0D0" w:sz="1"/>
              <w:right w:val="single" w:color="D0D0D0" w:sz="1"/>
            </w:tcBorders>
            <w:shd w:fill="EAF3DE" w:val="clear"/>
            <w:tcMar>
              <w:top w:type="dxa" w:w="80"/>
              <w:left w:type="dxa" w:w="120"/>
              <w:bottom w:type="dxa" w:w="80"/>
              <w:right w:type="dxa" w:w="120"/>
            </w:tcMar>
          </w:tcPr>
          <w:p>
            <w:r>
              <w:rPr>
                <w:rFonts w:ascii="Arial" w:cs="Arial" w:eastAsia="Arial" w:hAnsi="Arial"/>
                <w:b w:val="false"/>
                <w:bCs w:val="false"/>
                <w:sz w:val="18"/>
                <w:szCs w:val="18"/>
              </w:rPr>
              <w:t xml:space="preserve">LOG</w:t>
            </w:r>
          </w:p>
        </w:tc>
        <w:tc>
          <w:tcPr>
            <w:tcW w:type="dxa" w:w="23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Dane z API publicznego (KRS, GUS) → automatyczny status Verified + log.</w:t>
            </w:r>
          </w:p>
        </w:tc>
      </w:tr>
      <w:tr>
        <w:tc>
          <w:tcPr>
            <w:tcW w:type="dxa" w:w="9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NK-030</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Sampling weryfikacja</w:t>
            </w:r>
          </w:p>
        </w:tc>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Normy Zewn. 5.11</w:t>
            </w:r>
          </w:p>
        </w:tc>
        <w:tc>
          <w:tcPr>
            <w:tcW w:type="dxa" w:w="1800"/>
            <w:tcBorders>
              <w:top w:val="single" w:color="D0D0D0" w:sz="1"/>
              <w:left w:val="single" w:color="D0D0D0" w:sz="1"/>
              <w:bottom w:val="single" w:color="D0D0D0" w:sz="1"/>
              <w:right w:val="single" w:color="D0D0D0" w:sz="1"/>
            </w:tcBorders>
            <w:shd w:fill="EAF3DE" w:val="clear"/>
            <w:tcMar>
              <w:top w:type="dxa" w:w="80"/>
              <w:left w:type="dxa" w:w="120"/>
              <w:bottom w:type="dxa" w:w="80"/>
              <w:right w:type="dxa" w:w="120"/>
            </w:tcMar>
          </w:tcPr>
          <w:p>
            <w:r>
              <w:rPr>
                <w:rFonts w:ascii="Arial" w:cs="Arial" w:eastAsia="Arial" w:hAnsi="Arial"/>
                <w:b w:val="false"/>
                <w:bCs w:val="false"/>
                <w:sz w:val="18"/>
                <w:szCs w:val="18"/>
              </w:rPr>
              <w:t xml:space="preserve">LOG</w:t>
            </w:r>
          </w:p>
        </w:tc>
        <w:tc>
          <w:tcPr>
            <w:tcW w:type="dxa" w:w="23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Losowa weryfikacja 5–10% dokumentów Verified.</w:t>
            </w:r>
          </w:p>
        </w:tc>
      </w:tr>
      <w:tr>
        <w:tc>
          <w:tcPr>
            <w:tcW w:type="dxa" w:w="9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NK-031</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R-BOM generacja</w:t>
            </w:r>
          </w:p>
        </w:tc>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Normy Zewn. 5.6</w:t>
            </w:r>
          </w:p>
        </w:tc>
        <w:tc>
          <w:tcPr>
            <w:tcW w:type="dxa" w:w="1800"/>
            <w:tcBorders>
              <w:top w:val="single" w:color="D0D0D0" w:sz="1"/>
              <w:left w:val="single" w:color="D0D0D0" w:sz="1"/>
              <w:bottom w:val="single" w:color="D0D0D0" w:sz="1"/>
              <w:right w:val="single" w:color="D0D0D0" w:sz="1"/>
            </w:tcBorders>
            <w:shd w:fill="FAEEDA" w:val="clear"/>
            <w:tcMar>
              <w:top w:type="dxa" w:w="80"/>
              <w:left w:type="dxa" w:w="120"/>
              <w:bottom w:type="dxa" w:w="80"/>
              <w:right w:type="dxa" w:w="120"/>
            </w:tcMar>
          </w:tcPr>
          <w:p>
            <w:r>
              <w:rPr>
                <w:rFonts w:ascii="Arial" w:cs="Arial" w:eastAsia="Arial" w:hAnsi="Arial"/>
                <w:b w:val="false"/>
                <w:bCs w:val="false"/>
                <w:sz w:val="18"/>
                <w:szCs w:val="18"/>
              </w:rPr>
              <w:t xml:space="preserve">WARN</w:t>
            </w:r>
          </w:p>
        </w:tc>
        <w:tc>
          <w:tcPr>
            <w:tcW w:type="dxa" w:w="23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Każdy rating → R-BOM: hash danych + hash modelu + hash reguł. Brak R-BOM = ostrzeżenie.</w:t>
            </w:r>
          </w:p>
        </w:tc>
      </w:tr>
      <w:tr>
        <w:tc>
          <w:tcPr>
            <w:tcW w:type="dxa" w:w="9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NK-032</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Break-Glass post-mortem</w:t>
            </w:r>
          </w:p>
        </w:tc>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Normy Zewn. 5.4</w:t>
            </w:r>
          </w:p>
        </w:tc>
        <w:tc>
          <w:tcPr>
            <w:tcW w:type="dxa" w:w="1800"/>
            <w:tcBorders>
              <w:top w:val="single" w:color="D0D0D0" w:sz="1"/>
              <w:left w:val="single" w:color="D0D0D0" w:sz="1"/>
              <w:bottom w:val="single" w:color="D0D0D0" w:sz="1"/>
              <w:right w:val="single" w:color="D0D0D0" w:sz="1"/>
            </w:tcBorders>
            <w:shd w:fill="FAEEDA" w:val="clear"/>
            <w:tcMar>
              <w:top w:type="dxa" w:w="80"/>
              <w:left w:type="dxa" w:w="120"/>
              <w:bottom w:type="dxa" w:w="80"/>
              <w:right w:type="dxa" w:w="120"/>
            </w:tcMar>
          </w:tcPr>
          <w:p>
            <w:r>
              <w:rPr>
                <w:rFonts w:ascii="Arial" w:cs="Arial" w:eastAsia="Arial" w:hAnsi="Arial"/>
                <w:b w:val="false"/>
                <w:bCs w:val="false"/>
                <w:sz w:val="18"/>
                <w:szCs w:val="18"/>
              </w:rPr>
              <w:t xml:space="preserve">WARN</w:t>
            </w:r>
          </w:p>
        </w:tc>
        <w:tc>
          <w:tcPr>
            <w:tcW w:type="dxa" w:w="23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Po Break-Glass: 48h na post-mortem. Brak raportu → eskalacja do Izby.</w:t>
            </w:r>
          </w:p>
        </w:tc>
      </w:tr>
      <w:tr>
        <w:tc>
          <w:tcPr>
            <w:tcW w:type="dxa" w:w="9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NK-033</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Zmiana reguł kwartalnie</w:t>
            </w:r>
          </w:p>
        </w:tc>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Normy Zewn. 5.6</w:t>
            </w:r>
          </w:p>
        </w:tc>
        <w:tc>
          <w:tcPr>
            <w:tcW w:type="dxa" w:w="1800"/>
            <w:tcBorders>
              <w:top w:val="single" w:color="D0D0D0" w:sz="1"/>
              <w:left w:val="single" w:color="D0D0D0" w:sz="1"/>
              <w:bottom w:val="single" w:color="D0D0D0" w:sz="1"/>
              <w:right w:val="single" w:color="D0D0D0" w:sz="1"/>
            </w:tcBorders>
            <w:shd w:fill="FAEEDA" w:val="clear"/>
            <w:tcMar>
              <w:top w:type="dxa" w:w="80"/>
              <w:left w:type="dxa" w:w="120"/>
              <w:bottom w:type="dxa" w:w="80"/>
              <w:right w:type="dxa" w:w="120"/>
            </w:tcMar>
          </w:tcPr>
          <w:p>
            <w:r>
              <w:rPr>
                <w:rFonts w:ascii="Arial" w:cs="Arial" w:eastAsia="Arial" w:hAnsi="Arial"/>
                <w:b w:val="false"/>
                <w:bCs w:val="false"/>
                <w:sz w:val="18"/>
                <w:szCs w:val="18"/>
              </w:rPr>
              <w:t xml:space="preserve">WARN</w:t>
            </w:r>
          </w:p>
        </w:tc>
        <w:tc>
          <w:tcPr>
            <w:tcW w:type="dxa" w:w="23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Zmiana reguł CE częściej niż 1x/kwartał → wymagana zgoda CTO. Wyjątek: Emergency Policy Patch.</w:t>
            </w:r>
          </w:p>
        </w:tc>
      </w:tr>
      <w:tr>
        <w:tc>
          <w:tcPr>
            <w:tcW w:type="dxa" w:w="9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NK-034</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Delegate Risk-Based</w:t>
            </w:r>
          </w:p>
        </w:tc>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Normy Zewn. 5.8.1</w:t>
            </w:r>
          </w:p>
        </w:tc>
        <w:tc>
          <w:tcPr>
            <w:tcW w:type="dxa" w:w="1800"/>
            <w:tcBorders>
              <w:top w:val="single" w:color="D0D0D0" w:sz="1"/>
              <w:left w:val="single" w:color="D0D0D0" w:sz="1"/>
              <w:bottom w:val="single" w:color="D0D0D0" w:sz="1"/>
              <w:right w:val="single" w:color="D0D0D0" w:sz="1"/>
            </w:tcBorders>
            <w:shd w:fill="EAF3DE" w:val="clear"/>
            <w:tcMar>
              <w:top w:type="dxa" w:w="80"/>
              <w:left w:type="dxa" w:w="120"/>
              <w:bottom w:type="dxa" w:w="80"/>
              <w:right w:type="dxa" w:w="120"/>
            </w:tcMar>
          </w:tcPr>
          <w:p>
            <w:r>
              <w:rPr>
                <w:rFonts w:ascii="Arial" w:cs="Arial" w:eastAsia="Arial" w:hAnsi="Arial"/>
                <w:b w:val="false"/>
                <w:bCs w:val="false"/>
                <w:sz w:val="18"/>
                <w:szCs w:val="18"/>
              </w:rPr>
              <w:t xml:space="preserve">LOG</w:t>
            </w:r>
          </w:p>
        </w:tc>
        <w:tc>
          <w:tcPr>
            <w:tcW w:type="dxa" w:w="23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Ryzyko klasyfikowane statycznie per API endpoint (np. POST /drafts/ratings = High, GET /docs = Low). Nie przez LLM. Log.</w:t>
            </w:r>
          </w:p>
        </w:tc>
      </w:tr>
      <w:tr>
        <w:tc>
          <w:tcPr>
            <w:tcW w:type="dxa" w:w="9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NK-035</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Cooling period uchwały</w:t>
            </w:r>
          </w:p>
        </w:tc>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Normy Zewn. 5.9</w:t>
            </w:r>
          </w:p>
        </w:tc>
        <w:tc>
          <w:tcPr>
            <w:tcW w:type="dxa" w:w="1800"/>
            <w:tcBorders>
              <w:top w:val="single" w:color="D0D0D0" w:sz="1"/>
              <w:left w:val="single" w:color="D0D0D0" w:sz="1"/>
              <w:bottom w:val="single" w:color="D0D0D0" w:sz="1"/>
              <w:right w:val="single" w:color="D0D0D0" w:sz="1"/>
            </w:tcBorders>
            <w:shd w:fill="EAF3DE" w:val="clear"/>
            <w:tcMar>
              <w:top w:type="dxa" w:w="80"/>
              <w:left w:type="dxa" w:w="120"/>
              <w:bottom w:type="dxa" w:w="80"/>
              <w:right w:type="dxa" w:w="120"/>
            </w:tcMar>
          </w:tcPr>
          <w:p>
            <w:r>
              <w:rPr>
                <w:rFonts w:ascii="Arial" w:cs="Arial" w:eastAsia="Arial" w:hAnsi="Arial"/>
                <w:b w:val="false"/>
                <w:bCs w:val="false"/>
                <w:sz w:val="18"/>
                <w:szCs w:val="18"/>
              </w:rPr>
              <w:t xml:space="preserve">LOG</w:t>
            </w:r>
          </w:p>
        </w:tc>
        <w:tc>
          <w:tcPr>
            <w:tcW w:type="dxa" w:w="23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Uchwały o istotnym wpływie: 24h cooling period przed egzekucją.</w:t>
            </w:r>
          </w:p>
        </w:tc>
      </w:tr>
      <w:tr>
        <w:tc>
          <w:tcPr>
            <w:tcW w:type="dxa" w:w="9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NK-036</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Polityka AI przegląd</w:t>
            </w:r>
          </w:p>
        </w:tc>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§8 ust. 20e</w:t>
            </w:r>
          </w:p>
        </w:tc>
        <w:tc>
          <w:tcPr>
            <w:tcW w:type="dxa" w:w="1800"/>
            <w:tcBorders>
              <w:top w:val="single" w:color="D0D0D0" w:sz="1"/>
              <w:left w:val="single" w:color="D0D0D0" w:sz="1"/>
              <w:bottom w:val="single" w:color="D0D0D0" w:sz="1"/>
              <w:right w:val="single" w:color="D0D0D0" w:sz="1"/>
            </w:tcBorders>
            <w:shd w:fill="FAEEDA" w:val="clear"/>
            <w:tcMar>
              <w:top w:type="dxa" w:w="80"/>
              <w:left w:type="dxa" w:w="120"/>
              <w:bottom w:type="dxa" w:w="80"/>
              <w:right w:type="dxa" w:w="120"/>
            </w:tcMar>
          </w:tcPr>
          <w:p>
            <w:r>
              <w:rPr>
                <w:rFonts w:ascii="Arial" w:cs="Arial" w:eastAsia="Arial" w:hAnsi="Arial"/>
                <w:b w:val="false"/>
                <w:bCs w:val="false"/>
                <w:sz w:val="18"/>
                <w:szCs w:val="18"/>
              </w:rPr>
              <w:t xml:space="preserve">WARN</w:t>
            </w:r>
          </w:p>
        </w:tc>
        <w:tc>
          <w:tcPr>
            <w:tcW w:type="dxa" w:w="23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Polityka AI nieaktualizowana &gt;24 mies. → alert do Zarządu.</w:t>
            </w:r>
          </w:p>
        </w:tc>
      </w:tr>
      <w:tr>
        <w:tc>
          <w:tcPr>
            <w:tcW w:type="dxa" w:w="9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NK-037</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IOSCO deklaracja</w:t>
            </w:r>
          </w:p>
        </w:tc>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Normy Zewn. 3.6</w:t>
            </w:r>
          </w:p>
        </w:tc>
        <w:tc>
          <w:tcPr>
            <w:tcW w:type="dxa" w:w="1800"/>
            <w:tcBorders>
              <w:top w:val="single" w:color="D0D0D0" w:sz="1"/>
              <w:left w:val="single" w:color="D0D0D0" w:sz="1"/>
              <w:bottom w:val="single" w:color="D0D0D0" w:sz="1"/>
              <w:right w:val="single" w:color="D0D0D0" w:sz="1"/>
            </w:tcBorders>
            <w:shd w:fill="FAEEDA" w:val="clear"/>
            <w:tcMar>
              <w:top w:type="dxa" w:w="80"/>
              <w:left w:type="dxa" w:w="120"/>
              <w:bottom w:type="dxa" w:w="80"/>
              <w:right w:type="dxa" w:w="120"/>
            </w:tcMar>
          </w:tcPr>
          <w:p>
            <w:r>
              <w:rPr>
                <w:rFonts w:ascii="Arial" w:cs="Arial" w:eastAsia="Arial" w:hAnsi="Arial"/>
                <w:b w:val="false"/>
                <w:bCs w:val="false"/>
                <w:sz w:val="18"/>
                <w:szCs w:val="18"/>
              </w:rPr>
              <w:t xml:space="preserve">WARN</w:t>
            </w:r>
          </w:p>
        </w:tc>
        <w:tc>
          <w:tcPr>
            <w:tcW w:type="dxa" w:w="23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Deklaracja IOSCO nieaktualizowana &gt;12 mies. → alert.</w:t>
            </w:r>
          </w:p>
        </w:tc>
      </w:tr>
      <w:tr>
        <w:tc>
          <w:tcPr>
            <w:tcW w:type="dxa" w:w="9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NK-038</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eIDAS timestamp</w:t>
            </w:r>
          </w:p>
        </w:tc>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Normy Zewn. 5.10</w:t>
            </w:r>
          </w:p>
        </w:tc>
        <w:tc>
          <w:tcPr>
            <w:tcW w:type="dxa" w:w="1800"/>
            <w:tcBorders>
              <w:top w:val="single" w:color="D0D0D0" w:sz="1"/>
              <w:left w:val="single" w:color="D0D0D0" w:sz="1"/>
              <w:bottom w:val="single" w:color="D0D0D0" w:sz="1"/>
              <w:right w:val="single" w:color="D0D0D0" w:sz="1"/>
            </w:tcBorders>
            <w:shd w:fill="EAF3DE" w:val="clear"/>
            <w:tcMar>
              <w:top w:type="dxa" w:w="80"/>
              <w:left w:type="dxa" w:w="120"/>
              <w:bottom w:type="dxa" w:w="80"/>
              <w:right w:type="dxa" w:w="120"/>
            </w:tcMar>
          </w:tcPr>
          <w:p>
            <w:r>
              <w:rPr>
                <w:rFonts w:ascii="Arial" w:cs="Arial" w:eastAsia="Arial" w:hAnsi="Arial"/>
                <w:b w:val="false"/>
                <w:bCs w:val="false"/>
                <w:sz w:val="18"/>
                <w:szCs w:val="18"/>
              </w:rPr>
              <w:t xml:space="preserve">LOG</w:t>
            </w:r>
          </w:p>
        </w:tc>
        <w:tc>
          <w:tcPr>
            <w:tcW w:type="dxa" w:w="23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Codzienne znakowanie eIDAS Audit Ledger + R-BOM. Log: OK/FAIL.</w:t>
            </w:r>
          </w:p>
        </w:tc>
      </w:tr>
      <w:tr>
        <w:tc>
          <w:tcPr>
            <w:tcW w:type="dxa" w:w="9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NK-039</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Async voting SLA</w:t>
            </w:r>
          </w:p>
        </w:tc>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Normy Zewn. 5.12.4</w:t>
            </w:r>
          </w:p>
        </w:tc>
        <w:tc>
          <w:tcPr>
            <w:tcW w:type="dxa" w:w="1800"/>
            <w:tcBorders>
              <w:top w:val="single" w:color="D0D0D0" w:sz="1"/>
              <w:left w:val="single" w:color="D0D0D0" w:sz="1"/>
              <w:bottom w:val="single" w:color="D0D0D0" w:sz="1"/>
              <w:right w:val="single" w:color="D0D0D0" w:sz="1"/>
            </w:tcBorders>
            <w:shd w:fill="FAEEDA" w:val="clear"/>
            <w:tcMar>
              <w:top w:type="dxa" w:w="80"/>
              <w:left w:type="dxa" w:w="120"/>
              <w:bottom w:type="dxa" w:w="80"/>
              <w:right w:type="dxa" w:w="120"/>
            </w:tcMar>
          </w:tcPr>
          <w:p>
            <w:r>
              <w:rPr>
                <w:rFonts w:ascii="Arial" w:cs="Arial" w:eastAsia="Arial" w:hAnsi="Arial"/>
                <w:b w:val="false"/>
                <w:bCs w:val="false"/>
                <w:sz w:val="18"/>
                <w:szCs w:val="18"/>
              </w:rPr>
              <w:t xml:space="preserve">WARN</w:t>
            </w:r>
          </w:p>
        </w:tc>
        <w:tc>
          <w:tcPr>
            <w:tcW w:type="dxa" w:w="23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Głosowanie asynchroniczne: 72h na głos. Reminder po 48h.</w:t>
            </w:r>
          </w:p>
        </w:tc>
      </w:tr>
      <w:tr>
        <w:tc>
          <w:tcPr>
            <w:tcW w:type="dxa" w:w="9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NK-040</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Peer review termin</w:t>
            </w:r>
          </w:p>
        </w:tc>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§13 ust. 12</w:t>
            </w:r>
          </w:p>
        </w:tc>
        <w:tc>
          <w:tcPr>
            <w:tcW w:type="dxa" w:w="1800"/>
            <w:tcBorders>
              <w:top w:val="single" w:color="D0D0D0" w:sz="1"/>
              <w:left w:val="single" w:color="D0D0D0" w:sz="1"/>
              <w:bottom w:val="single" w:color="D0D0D0" w:sz="1"/>
              <w:right w:val="single" w:color="D0D0D0" w:sz="1"/>
            </w:tcBorders>
            <w:shd w:fill="FAEEDA" w:val="clear"/>
            <w:tcMar>
              <w:top w:type="dxa" w:w="80"/>
              <w:left w:type="dxa" w:w="120"/>
              <w:bottom w:type="dxa" w:w="80"/>
              <w:right w:type="dxa" w:w="120"/>
            </w:tcMar>
          </w:tcPr>
          <w:p>
            <w:r>
              <w:rPr>
                <w:rFonts w:ascii="Arial" w:cs="Arial" w:eastAsia="Arial" w:hAnsi="Arial"/>
                <w:b w:val="false"/>
                <w:bCs w:val="false"/>
                <w:sz w:val="18"/>
                <w:szCs w:val="18"/>
              </w:rPr>
              <w:t xml:space="preserve">WARN</w:t>
            </w:r>
          </w:p>
        </w:tc>
        <w:tc>
          <w:tcPr>
            <w:tcW w:type="dxa" w:w="23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Termin peer review przekroczony &gt;30 dni → alert Izba.</w:t>
            </w:r>
          </w:p>
        </w:tc>
      </w:tr>
    </w:tbl>
    <w:p>
      <w:r>
        <w:br w:type="page"/>
      </w:r>
    </w:p>
    <w:p>
      <w:pPr>
        <w:pStyle w:val="Heading1"/>
      </w:pPr>
      <w:r>
        <w:t xml:space="preserve">4. Matryca pokrycia normowego</w:t>
      </w:r>
    </w:p>
    <w:p>
      <w:pPr>
        <w:spacing w:after="120"/>
      </w:pPr>
      <w:r>
        <w:rPr>
          <w:rFonts w:ascii="Arial" w:cs="Arial" w:eastAsia="Arial" w:hAnsi="Arial"/>
          <w:sz w:val="22"/>
          <w:szCs w:val="22"/>
        </w:rPr>
        <w:t xml:space="preserve">Każda reguła pokrywa co najmniej jeden wymog normowy. Poniższa tabela pokazuje pokrycie norm ISO i Statutu przez Hard Gates.</w:t>
      </w:r>
    </w:p>
    <w:p>
      <w:pPr>
        <w:spacing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000"/>
        <w:gridCol w:w="1000"/>
        <w:gridCol w:w="1000"/>
        <w:gridCol w:w="1000"/>
        <w:gridCol w:w="1000"/>
        <w:gridCol w:w="1026"/>
        <w:gridCol w:w="1000"/>
      </w:tblGrid>
      <w:tr>
        <w:tc>
          <w:tcPr>
            <w:tcW w:type="dxa" w:w="1000"/>
            <w:tcBorders>
              <w:top w:val="single" w:color="D0D0D0" w:sz="1"/>
              <w:left w:val="single" w:color="D0D0D0" w:sz="1"/>
              <w:bottom w:val="single" w:color="D0D0D0" w:sz="1"/>
              <w:right w:val="single" w:color="D0D0D0"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Reguła</w:t>
            </w:r>
          </w:p>
        </w:tc>
        <w:tc>
          <w:tcPr>
            <w:tcW w:type="dxa" w:w="1000"/>
            <w:tcBorders>
              <w:top w:val="single" w:color="D0D0D0" w:sz="1"/>
              <w:left w:val="single" w:color="D0D0D0" w:sz="1"/>
              <w:bottom w:val="single" w:color="D0D0D0" w:sz="1"/>
              <w:right w:val="single" w:color="D0D0D0"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9001</w:t>
            </w:r>
          </w:p>
        </w:tc>
        <w:tc>
          <w:tcPr>
            <w:tcW w:type="dxa" w:w="1000"/>
            <w:tcBorders>
              <w:top w:val="single" w:color="D0D0D0" w:sz="1"/>
              <w:left w:val="single" w:color="D0D0D0" w:sz="1"/>
              <w:bottom w:val="single" w:color="D0D0D0" w:sz="1"/>
              <w:right w:val="single" w:color="D0D0D0"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27001</w:t>
            </w:r>
          </w:p>
        </w:tc>
        <w:tc>
          <w:tcPr>
            <w:tcW w:type="dxa" w:w="1000"/>
            <w:tcBorders>
              <w:top w:val="single" w:color="D0D0D0" w:sz="1"/>
              <w:left w:val="single" w:color="D0D0D0" w:sz="1"/>
              <w:bottom w:val="single" w:color="D0D0D0" w:sz="1"/>
              <w:right w:val="single" w:color="D0D0D0"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37001</w:t>
            </w:r>
          </w:p>
        </w:tc>
        <w:tc>
          <w:tcPr>
            <w:tcW w:type="dxa" w:w="1000"/>
            <w:tcBorders>
              <w:top w:val="single" w:color="D0D0D0" w:sz="1"/>
              <w:left w:val="single" w:color="D0D0D0" w:sz="1"/>
              <w:bottom w:val="single" w:color="D0D0D0" w:sz="1"/>
              <w:right w:val="single" w:color="D0D0D0"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37301</w:t>
            </w:r>
          </w:p>
        </w:tc>
        <w:tc>
          <w:tcPr>
            <w:tcW w:type="dxa" w:w="1000"/>
            <w:tcBorders>
              <w:top w:val="single" w:color="D0D0D0" w:sz="1"/>
              <w:left w:val="single" w:color="D0D0D0" w:sz="1"/>
              <w:bottom w:val="single" w:color="D0D0D0" w:sz="1"/>
              <w:right w:val="single" w:color="D0D0D0"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42001</w:t>
            </w:r>
          </w:p>
        </w:tc>
        <w:tc>
          <w:tcPr>
            <w:tcW w:type="dxa" w:w="1000"/>
            <w:tcBorders>
              <w:top w:val="single" w:color="D0D0D0" w:sz="1"/>
              <w:left w:val="single" w:color="D0D0D0" w:sz="1"/>
              <w:bottom w:val="single" w:color="D0D0D0" w:sz="1"/>
              <w:right w:val="single" w:color="D0D0D0"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IOSCO</w:t>
            </w:r>
          </w:p>
        </w:tc>
        <w:tc>
          <w:tcPr>
            <w:tcW w:type="dxa" w:w="1026"/>
            <w:tcBorders>
              <w:top w:val="single" w:color="D0D0D0" w:sz="1"/>
              <w:left w:val="single" w:color="D0D0D0" w:sz="1"/>
              <w:bottom w:val="single" w:color="D0D0D0" w:sz="1"/>
              <w:right w:val="single" w:color="D0D0D0"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Statut</w:t>
            </w:r>
          </w:p>
        </w:tc>
        <w:tc>
          <w:tcPr>
            <w:tcW w:type="dxa" w:w="1000"/>
            <w:tcBorders>
              <w:top w:val="single" w:color="D0D0D0" w:sz="1"/>
              <w:left w:val="single" w:color="D0D0D0" w:sz="1"/>
              <w:bottom w:val="single" w:color="D0D0D0" w:sz="1"/>
              <w:right w:val="single" w:color="D0D0D0"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AI Act</w:t>
            </w:r>
          </w:p>
        </w:tc>
      </w:tr>
      <w:tr>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NK-000</w:t>
            </w:r>
          </w:p>
        </w:tc>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1000"/>
            <w:tcBorders>
              <w:top w:val="single" w:color="D0D0D0" w:sz="1"/>
              <w:left w:val="single" w:color="D0D0D0" w:sz="1"/>
              <w:bottom w:val="single" w:color="D0D0D0" w:sz="1"/>
              <w:right w:val="single" w:color="D0D0D0" w:sz="1"/>
            </w:tcBorders>
            <w:shd w:fill="E1F5EE"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10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NK-001</w:t>
            </w:r>
          </w:p>
        </w:tc>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1000"/>
            <w:tcBorders>
              <w:top w:val="single" w:color="D0D0D0" w:sz="1"/>
              <w:left w:val="single" w:color="D0D0D0" w:sz="1"/>
              <w:bottom w:val="single" w:color="D0D0D0" w:sz="1"/>
              <w:right w:val="single" w:color="D0D0D0" w:sz="1"/>
            </w:tcBorders>
            <w:shd w:fill="E1F5EE"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1000"/>
            <w:tcBorders>
              <w:top w:val="single" w:color="D0D0D0" w:sz="1"/>
              <w:left w:val="single" w:color="D0D0D0" w:sz="1"/>
              <w:bottom w:val="single" w:color="D0D0D0" w:sz="1"/>
              <w:right w:val="single" w:color="D0D0D0" w:sz="1"/>
            </w:tcBorders>
            <w:shd w:fill="E1F5EE"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10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§11–19</w:t>
            </w:r>
          </w:p>
        </w:tc>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NK-002</w:t>
            </w:r>
          </w:p>
        </w:tc>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1000"/>
            <w:tcBorders>
              <w:top w:val="single" w:color="D0D0D0" w:sz="1"/>
              <w:left w:val="single" w:color="D0D0D0" w:sz="1"/>
              <w:bottom w:val="single" w:color="D0D0D0" w:sz="1"/>
              <w:right w:val="single" w:color="D0D0D0" w:sz="1"/>
            </w:tcBorders>
            <w:shd w:fill="E1F5EE"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000"/>
            <w:tcBorders>
              <w:top w:val="single" w:color="D0D0D0" w:sz="1"/>
              <w:left w:val="single" w:color="D0D0D0" w:sz="1"/>
              <w:bottom w:val="single" w:color="D0D0D0" w:sz="1"/>
              <w:right w:val="single" w:color="D0D0D0" w:sz="1"/>
            </w:tcBorders>
            <w:shd w:fill="E1F5EE"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10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§12–15</w:t>
            </w:r>
          </w:p>
        </w:tc>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NK-003</w:t>
            </w:r>
          </w:p>
        </w:tc>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1000"/>
            <w:tcBorders>
              <w:top w:val="single" w:color="D0D0D0" w:sz="1"/>
              <w:left w:val="single" w:color="D0D0D0" w:sz="1"/>
              <w:bottom w:val="single" w:color="D0D0D0" w:sz="1"/>
              <w:right w:val="single" w:color="D0D0D0" w:sz="1"/>
            </w:tcBorders>
            <w:shd w:fill="E1F5EE"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000"/>
            <w:tcBorders>
              <w:top w:val="single" w:color="D0D0D0" w:sz="1"/>
              <w:left w:val="single" w:color="D0D0D0" w:sz="1"/>
              <w:bottom w:val="single" w:color="D0D0D0" w:sz="1"/>
              <w:right w:val="single" w:color="D0D0D0" w:sz="1"/>
            </w:tcBorders>
            <w:shd w:fill="E1F5EE"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10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§8.19</w:t>
            </w:r>
          </w:p>
        </w:tc>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NK-004</w:t>
            </w:r>
          </w:p>
        </w:tc>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1000"/>
            <w:tcBorders>
              <w:top w:val="single" w:color="D0D0D0" w:sz="1"/>
              <w:left w:val="single" w:color="D0D0D0" w:sz="1"/>
              <w:bottom w:val="single" w:color="D0D0D0" w:sz="1"/>
              <w:right w:val="single" w:color="D0D0D0" w:sz="1"/>
            </w:tcBorders>
            <w:shd w:fill="E1F5EE"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1000"/>
            <w:tcBorders>
              <w:top w:val="single" w:color="D0D0D0" w:sz="1"/>
              <w:left w:val="single" w:color="D0D0D0" w:sz="1"/>
              <w:bottom w:val="single" w:color="D0D0D0" w:sz="1"/>
              <w:right w:val="single" w:color="D0D0D0" w:sz="1"/>
            </w:tcBorders>
            <w:shd w:fill="E1F5EE"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0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§8.11</w:t>
            </w:r>
          </w:p>
        </w:tc>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NK-005</w:t>
            </w:r>
          </w:p>
        </w:tc>
        <w:tc>
          <w:tcPr>
            <w:tcW w:type="dxa" w:w="1000"/>
            <w:tcBorders>
              <w:top w:val="single" w:color="D0D0D0" w:sz="1"/>
              <w:left w:val="single" w:color="D0D0D0" w:sz="1"/>
              <w:bottom w:val="single" w:color="D0D0D0" w:sz="1"/>
              <w:right w:val="single" w:color="D0D0D0" w:sz="1"/>
            </w:tcBorders>
            <w:shd w:fill="E1F5EE"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1000"/>
            <w:tcBorders>
              <w:top w:val="single" w:color="D0D0D0" w:sz="1"/>
              <w:left w:val="single" w:color="D0D0D0" w:sz="1"/>
              <w:bottom w:val="single" w:color="D0D0D0" w:sz="1"/>
              <w:right w:val="single" w:color="D0D0D0" w:sz="1"/>
            </w:tcBorders>
            <w:shd w:fill="E1F5EE"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10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§8.20b</w:t>
            </w:r>
          </w:p>
        </w:tc>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NK-006</w:t>
            </w:r>
          </w:p>
        </w:tc>
        <w:tc>
          <w:tcPr>
            <w:tcW w:type="dxa" w:w="1000"/>
            <w:tcBorders>
              <w:top w:val="single" w:color="D0D0D0" w:sz="1"/>
              <w:left w:val="single" w:color="D0D0D0" w:sz="1"/>
              <w:bottom w:val="single" w:color="D0D0D0" w:sz="1"/>
              <w:right w:val="single" w:color="D0D0D0" w:sz="1"/>
            </w:tcBorders>
            <w:shd w:fill="E1F5EE"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10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§21.1</w:t>
            </w:r>
          </w:p>
        </w:tc>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NK-007</w:t>
            </w:r>
          </w:p>
        </w:tc>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1000"/>
            <w:tcBorders>
              <w:top w:val="single" w:color="D0D0D0" w:sz="1"/>
              <w:left w:val="single" w:color="D0D0D0" w:sz="1"/>
              <w:bottom w:val="single" w:color="D0D0D0" w:sz="1"/>
              <w:right w:val="single" w:color="D0D0D0" w:sz="1"/>
            </w:tcBorders>
            <w:shd w:fill="E1F5EE"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0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§8.2</w:t>
            </w:r>
          </w:p>
        </w:tc>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NK-008</w:t>
            </w:r>
          </w:p>
        </w:tc>
        <w:tc>
          <w:tcPr>
            <w:tcW w:type="dxa" w:w="1000"/>
            <w:tcBorders>
              <w:top w:val="single" w:color="D0D0D0" w:sz="1"/>
              <w:left w:val="single" w:color="D0D0D0" w:sz="1"/>
              <w:bottom w:val="single" w:color="D0D0D0" w:sz="1"/>
              <w:right w:val="single" w:color="D0D0D0" w:sz="1"/>
            </w:tcBorders>
            <w:shd w:fill="E1F5EE"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10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§13.6e</w:t>
            </w:r>
          </w:p>
        </w:tc>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NK-009</w:t>
            </w:r>
          </w:p>
        </w:tc>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1000"/>
            <w:tcBorders>
              <w:top w:val="single" w:color="D0D0D0" w:sz="1"/>
              <w:left w:val="single" w:color="D0D0D0" w:sz="1"/>
              <w:bottom w:val="single" w:color="D0D0D0" w:sz="1"/>
              <w:right w:val="single" w:color="D0D0D0" w:sz="1"/>
            </w:tcBorders>
            <w:shd w:fill="E1F5EE"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1000"/>
            <w:tcBorders>
              <w:top w:val="single" w:color="D0D0D0" w:sz="1"/>
              <w:left w:val="single" w:color="D0D0D0" w:sz="1"/>
              <w:bottom w:val="single" w:color="D0D0D0" w:sz="1"/>
              <w:right w:val="single" w:color="D0D0D0" w:sz="1"/>
            </w:tcBorders>
            <w:shd w:fill="E1F5EE"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0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§13.13</w:t>
            </w:r>
          </w:p>
        </w:tc>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NK-010</w:t>
            </w:r>
          </w:p>
        </w:tc>
        <w:tc>
          <w:tcPr>
            <w:tcW w:type="dxa" w:w="1000"/>
            <w:tcBorders>
              <w:top w:val="single" w:color="D0D0D0" w:sz="1"/>
              <w:left w:val="single" w:color="D0D0D0" w:sz="1"/>
              <w:bottom w:val="single" w:color="D0D0D0" w:sz="1"/>
              <w:right w:val="single" w:color="D0D0D0" w:sz="1"/>
            </w:tcBorders>
            <w:shd w:fill="E1F5EE"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000"/>
            <w:tcBorders>
              <w:top w:val="single" w:color="D0D0D0" w:sz="1"/>
              <w:left w:val="single" w:color="D0D0D0" w:sz="1"/>
              <w:bottom w:val="single" w:color="D0D0D0" w:sz="1"/>
              <w:right w:val="single" w:color="D0D0D0" w:sz="1"/>
            </w:tcBorders>
            <w:shd w:fill="E1F5EE"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10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§9.5</w:t>
            </w:r>
          </w:p>
        </w:tc>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NK-011</w:t>
            </w:r>
          </w:p>
        </w:tc>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1000"/>
            <w:tcBorders>
              <w:top w:val="single" w:color="D0D0D0" w:sz="1"/>
              <w:left w:val="single" w:color="D0D0D0" w:sz="1"/>
              <w:bottom w:val="single" w:color="D0D0D0" w:sz="1"/>
              <w:right w:val="single" w:color="D0D0D0" w:sz="1"/>
            </w:tcBorders>
            <w:shd w:fill="E1F5EE"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000"/>
            <w:tcBorders>
              <w:top w:val="single" w:color="D0D0D0" w:sz="1"/>
              <w:left w:val="single" w:color="D0D0D0" w:sz="1"/>
              <w:bottom w:val="single" w:color="D0D0D0" w:sz="1"/>
              <w:right w:val="single" w:color="D0D0D0" w:sz="1"/>
            </w:tcBorders>
            <w:shd w:fill="E1F5EE"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10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§10.8</w:t>
            </w:r>
          </w:p>
        </w:tc>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NK-012</w:t>
            </w:r>
          </w:p>
        </w:tc>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1000"/>
            <w:tcBorders>
              <w:top w:val="single" w:color="D0D0D0" w:sz="1"/>
              <w:left w:val="single" w:color="D0D0D0" w:sz="1"/>
              <w:bottom w:val="single" w:color="D0D0D0" w:sz="1"/>
              <w:right w:val="single" w:color="D0D0D0" w:sz="1"/>
            </w:tcBorders>
            <w:shd w:fill="E1F5EE"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1000"/>
            <w:tcBorders>
              <w:top w:val="single" w:color="D0D0D0" w:sz="1"/>
              <w:left w:val="single" w:color="D0D0D0" w:sz="1"/>
              <w:bottom w:val="single" w:color="D0D0D0" w:sz="1"/>
              <w:right w:val="single" w:color="D0D0D0" w:sz="1"/>
            </w:tcBorders>
            <w:shd w:fill="E1F5EE"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0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§8.15</w:t>
            </w:r>
          </w:p>
        </w:tc>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NK-013</w:t>
            </w:r>
          </w:p>
        </w:tc>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1000"/>
            <w:tcBorders>
              <w:top w:val="single" w:color="D0D0D0" w:sz="1"/>
              <w:left w:val="single" w:color="D0D0D0" w:sz="1"/>
              <w:bottom w:val="single" w:color="D0D0D0" w:sz="1"/>
              <w:right w:val="single" w:color="D0D0D0" w:sz="1"/>
            </w:tcBorders>
            <w:shd w:fill="E1F5EE"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1000"/>
            <w:tcBorders>
              <w:top w:val="single" w:color="D0D0D0" w:sz="1"/>
              <w:left w:val="single" w:color="D0D0D0" w:sz="1"/>
              <w:bottom w:val="single" w:color="D0D0D0" w:sz="1"/>
              <w:right w:val="single" w:color="D0D0D0" w:sz="1"/>
            </w:tcBorders>
            <w:shd w:fill="E1F5EE"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10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NK-014</w:t>
            </w:r>
          </w:p>
        </w:tc>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1000"/>
            <w:tcBorders>
              <w:top w:val="single" w:color="D0D0D0" w:sz="1"/>
              <w:left w:val="single" w:color="D0D0D0" w:sz="1"/>
              <w:bottom w:val="single" w:color="D0D0D0" w:sz="1"/>
              <w:right w:val="single" w:color="D0D0D0" w:sz="1"/>
            </w:tcBorders>
            <w:shd w:fill="E1F5EE"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1000"/>
            <w:tcBorders>
              <w:top w:val="single" w:color="D0D0D0" w:sz="1"/>
              <w:left w:val="single" w:color="D0D0D0" w:sz="1"/>
              <w:bottom w:val="single" w:color="D0D0D0" w:sz="1"/>
              <w:right w:val="single" w:color="D0D0D0" w:sz="1"/>
            </w:tcBorders>
            <w:shd w:fill="E1F5EE"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10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§8.20</w:t>
            </w:r>
          </w:p>
        </w:tc>
        <w:tc>
          <w:tcPr>
            <w:tcW w:type="dxa" w:w="1000"/>
            <w:tcBorders>
              <w:top w:val="single" w:color="D0D0D0" w:sz="1"/>
              <w:left w:val="single" w:color="D0D0D0" w:sz="1"/>
              <w:bottom w:val="single" w:color="D0D0D0" w:sz="1"/>
              <w:right w:val="single" w:color="D0D0D0" w:sz="1"/>
            </w:tcBorders>
            <w:shd w:fill="E1F5EE" w:val="clear"/>
            <w:tcMar>
              <w:top w:type="dxa" w:w="80"/>
              <w:left w:type="dxa" w:w="120"/>
              <w:bottom w:type="dxa" w:w="80"/>
              <w:right w:type="dxa" w:w="120"/>
            </w:tcMar>
          </w:tcPr>
          <w:p>
            <w:r>
              <w:rPr>
                <w:rFonts w:ascii="Arial" w:cs="Arial" w:eastAsia="Arial" w:hAnsi="Arial"/>
                <w:b w:val="false"/>
                <w:bCs w:val="false"/>
                <w:sz w:val="18"/>
                <w:szCs w:val="18"/>
              </w:rPr>
              <w:t xml:space="preserve">✓</w:t>
            </w:r>
          </w:p>
        </w:tc>
      </w:tr>
      <w:tr>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NK-015</w:t>
            </w:r>
          </w:p>
        </w:tc>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1000"/>
            <w:tcBorders>
              <w:top w:val="single" w:color="D0D0D0" w:sz="1"/>
              <w:left w:val="single" w:color="D0D0D0" w:sz="1"/>
              <w:bottom w:val="single" w:color="D0D0D0" w:sz="1"/>
              <w:right w:val="single" w:color="D0D0D0" w:sz="1"/>
            </w:tcBorders>
            <w:shd w:fill="E1F5EE"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1000"/>
            <w:tcBorders>
              <w:top w:val="single" w:color="D0D0D0" w:sz="1"/>
              <w:left w:val="single" w:color="D0D0D0" w:sz="1"/>
              <w:bottom w:val="single" w:color="D0D0D0" w:sz="1"/>
              <w:right w:val="single" w:color="D0D0D0" w:sz="1"/>
            </w:tcBorders>
            <w:shd w:fill="E1F5EE"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10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§8.8</w:t>
            </w:r>
          </w:p>
        </w:tc>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NK-019</w:t>
            </w:r>
          </w:p>
        </w:tc>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1000"/>
            <w:tcBorders>
              <w:top w:val="single" w:color="D0D0D0" w:sz="1"/>
              <w:left w:val="single" w:color="D0D0D0" w:sz="1"/>
              <w:bottom w:val="single" w:color="D0D0D0" w:sz="1"/>
              <w:right w:val="single" w:color="D0D0D0" w:sz="1"/>
            </w:tcBorders>
            <w:shd w:fill="E1F5EE"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10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RODO</w:t>
            </w:r>
          </w:p>
        </w:tc>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r>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NK-020</w:t>
            </w:r>
          </w:p>
        </w:tc>
        <w:tc>
          <w:tcPr>
            <w:tcW w:type="dxa" w:w="1000"/>
            <w:tcBorders>
              <w:top w:val="single" w:color="D0D0D0" w:sz="1"/>
              <w:left w:val="single" w:color="D0D0D0" w:sz="1"/>
              <w:bottom w:val="single" w:color="D0D0D0" w:sz="1"/>
              <w:right w:val="single" w:color="D0D0D0" w:sz="1"/>
            </w:tcBorders>
            <w:shd w:fill="E1F5EE"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1000"/>
            <w:tcBorders>
              <w:top w:val="single" w:color="D0D0D0" w:sz="1"/>
              <w:left w:val="single" w:color="D0D0D0" w:sz="1"/>
              <w:bottom w:val="single" w:color="D0D0D0" w:sz="1"/>
              <w:right w:val="single" w:color="D0D0D0" w:sz="1"/>
            </w:tcBorders>
            <w:shd w:fill="E1F5EE"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0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§13</w:t>
            </w:r>
          </w:p>
        </w:tc>
        <w:tc>
          <w:tcPr>
            <w:tcW w:type="dxa" w:w="1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
            </w:r>
          </w:p>
        </w:tc>
      </w:tr>
    </w:tbl>
    <w:p>
      <w:pPr>
        <w:spacing w:before="100"/>
      </w:pPr>
    </w:p>
    <w:p>
      <w:pPr>
        <w:spacing w:after="120"/>
      </w:pPr>
      <w:r>
        <w:rPr>
          <w:rFonts w:ascii="Arial" w:cs="Arial" w:eastAsia="Arial" w:hAnsi="Arial"/>
          <w:color w:val="666666"/>
          <w:sz w:val="18"/>
          <w:szCs w:val="18"/>
        </w:rPr>
        <w:t xml:space="preserve">✓ = pokrywa normę  |  Statut = referencja do paragrafu Statutu Fundacji Certo v17</w:t>
      </w:r>
    </w:p>
    <w:p>
      <w:r>
        <w:br w:type="page"/>
      </w:r>
    </w:p>
    <w:p>
      <w:pPr>
        <w:pStyle w:val="Heading1"/>
      </w:pPr>
      <w:r>
        <w:t xml:space="preserve">5. Mapowanie na moduły Compliance Engine</w:t>
      </w:r>
    </w:p>
    <w:p>
      <w:pPr>
        <w:spacing w:after="120"/>
      </w:pPr>
      <w:r>
        <w:rPr>
          <w:rFonts w:ascii="Arial" w:cs="Arial" w:eastAsia="Arial" w:hAnsi="Arial"/>
          <w:sz w:val="22"/>
          <w:szCs w:val="22"/>
        </w:rPr>
        <w:t xml:space="preserve">Compliance Engine działa jako warstwa wywoływana w punktach decyzyjnych (compliance hooks), nie globalny middleware. Cztery funkcje rdzeniowe:</w:t>
      </w:r>
    </w:p>
    <w:p>
      <w:pPr>
        <w:spacing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c>
          <w:tcPr>
            <w:tcW w:type="dxa" w:w="2200"/>
            <w:tcBorders>
              <w:top w:val="single" w:color="D0D0D0" w:sz="1"/>
              <w:left w:val="single" w:color="D0D0D0" w:sz="1"/>
              <w:bottom w:val="single" w:color="D0D0D0" w:sz="1"/>
              <w:right w:val="single" w:color="D0D0D0"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Moduł CE</w:t>
            </w:r>
          </w:p>
        </w:tc>
        <w:tc>
          <w:tcPr>
            <w:tcW w:type="dxa" w:w="2200"/>
            <w:tcBorders>
              <w:top w:val="single" w:color="D0D0D0" w:sz="1"/>
              <w:left w:val="single" w:color="D0D0D0" w:sz="1"/>
              <w:bottom w:val="single" w:color="D0D0D0" w:sz="1"/>
              <w:right w:val="single" w:color="D0D0D0"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Hard Gates</w:t>
            </w:r>
          </w:p>
        </w:tc>
        <w:tc>
          <w:tcPr>
            <w:tcW w:type="dxa" w:w="4626"/>
            <w:tcBorders>
              <w:top w:val="single" w:color="D0D0D0" w:sz="1"/>
              <w:left w:val="single" w:color="D0D0D0" w:sz="1"/>
              <w:bottom w:val="single" w:color="D0D0D0" w:sz="1"/>
              <w:right w:val="single" w:color="D0D0D0" w:sz="1"/>
            </w:tcBorders>
            <w:shd w:fill="2E5090" w:val="clear"/>
            <w:tcMar>
              <w:top w:type="dxa" w:w="80"/>
              <w:left w:type="dxa" w:w="120"/>
              <w:bottom w:type="dxa" w:w="80"/>
              <w:right w:type="dxa" w:w="120"/>
            </w:tcMar>
          </w:tcPr>
          <w:p>
            <w:r>
              <w:rPr>
                <w:rFonts w:ascii="Arial" w:cs="Arial" w:eastAsia="Arial" w:hAnsi="Arial"/>
                <w:b/>
                <w:bCs/>
                <w:color w:val="FFFFFF"/>
                <w:sz w:val="18"/>
                <w:szCs w:val="18"/>
              </w:rPr>
              <w:t xml:space="preserve">Zakres</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RBAC</w:t>
            </w:r>
          </w:p>
        </w:tc>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NK-000, 001, 002, 006, 010, 013, 014</w:t>
            </w:r>
          </w:p>
        </w:tc>
        <w:tc>
          <w:tcPr>
            <w:tcW w:type="dxa" w:w="46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Fail-closed default, kontrola dostępu (sesja), incompatibilitas, klasyfikacja, Delegat.</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Conflict</w:t>
            </w:r>
          </w:p>
        </w:tc>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NK-003, 004, 011, 012</w:t>
            </w:r>
          </w:p>
        </w:tc>
        <w:tc>
          <w:tcPr>
            <w:tcW w:type="dxa" w:w="46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Konflikty interesów, rotacja, relacje finansowe + beneficial ownership, disclosure.</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Maker-Checker</w:t>
            </w:r>
          </w:p>
        </w:tc>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NK-005, 008</w:t>
            </w:r>
          </w:p>
        </w:tc>
        <w:tc>
          <w:tcPr>
            <w:tcW w:type="dxa" w:w="46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Dwie osoby: maker + checker. Rating, metodologia.</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sz w:val="18"/>
                <w:szCs w:val="18"/>
              </w:rPr>
              <w:t xml:space="preserve">Audit</w:t>
            </w:r>
          </w:p>
        </w:tc>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NK-007, 009, 015, 016, 017</w:t>
            </w:r>
          </w:p>
        </w:tc>
        <w:tc>
          <w:tcPr>
            <w:tcW w:type="dxa" w:w="4626"/>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val="false"/>
                <w:bCs w:val="false"/>
                <w:sz w:val="18"/>
                <w:szCs w:val="18"/>
              </w:rPr>
              <w:t xml:space="preserve">Timery, append-only log, data retention lifecycle, methodology version lock, R-BOM.</w:t>
            </w:r>
          </w:p>
        </w:tc>
      </w:tr>
    </w:tbl>
    <w:p>
      <w:r>
        <w:br w:type="page"/>
      </w:r>
    </w:p>
    <w:p>
      <w:pPr>
        <w:pStyle w:val="Heading1"/>
      </w:pPr>
      <w:r>
        <w:t xml:space="preserve">6. Zasady rejestru</w:t>
      </w:r>
    </w:p>
    <w:p>
      <w:pPr>
        <w:pStyle w:val="Heading2"/>
      </w:pPr>
      <w:r>
        <w:t xml:space="preserve">6.1. Zasada minimalizmu reguł</w:t>
      </w:r>
    </w:p>
    <w:p>
      <w:pPr>
        <w:spacing w:after="120"/>
      </w:pPr>
      <w:r>
        <w:rPr>
          <w:rFonts w:ascii="Arial" w:cs="Arial" w:eastAsia="Arial" w:hAnsi="Arial"/>
          <w:b/>
          <w:bCs/>
          <w:sz w:val="22"/>
          <w:szCs w:val="22"/>
        </w:rPr>
        <w:t xml:space="preserve">Jeśli reguła występuje rzadziej niż raz na rok, nie automatyzujemy jej jako Hard Gate — pozostaje jako procedura.</w:t>
      </w:r>
    </w:p>
    <w:p>
      <w:pPr>
        <w:spacing w:after="120"/>
      </w:pPr>
      <w:r>
        <w:rPr>
          <w:rFonts w:ascii="Arial" w:cs="Arial" w:eastAsia="Arial" w:hAnsi="Arial"/>
          <w:sz w:val="22"/>
          <w:szCs w:val="22"/>
        </w:rPr>
        <w:t xml:space="preserve">To chroni przed przeautomatyzowaniem systemu. Koszt utrzymania reguły w Compliance Engine (testy, staging, review) musi być proporcjonalny do częstotliwości użycia. Wyjątek: reguły, których naruszenie niesie krytyczne ryzyko reputacyjne, prawne lub bezpieczeństwa informacji (np. Break-Glass, Conflict Checker) — podlegają automatyzacji niezależnie od częstotliwości występowania.</w:t>
      </w:r>
    </w:p>
    <w:p>
      <w:pPr>
        <w:pStyle w:val="Heading2"/>
      </w:pPr>
      <w:r>
        <w:t xml:space="preserve">6.2. Okno zmian reguł + Emergency Policy Patch</w:t>
      </w:r>
    </w:p>
    <w:p>
      <w:pPr>
        <w:spacing w:after="120"/>
      </w:pPr>
      <w:r>
        <w:rPr>
          <w:rFonts w:ascii="Arial" w:cs="Arial" w:eastAsia="Arial" w:hAnsi="Arial"/>
          <w:sz w:val="22"/>
          <w:szCs w:val="22"/>
        </w:rPr>
        <w:t xml:space="preserve">Zmiany reguł Compliance Engine: maksymalnie raz na kwartał. Częstsze zmiany generują regresję i chaos operacyjny (NK-033).</w:t>
      </w:r>
    </w:p>
    <w:p>
      <w:pPr>
        <w:spacing w:after="120"/>
      </w:pPr>
      <w:r>
        <w:rPr>
          <w:rFonts w:ascii="Arial" w:cs="Arial" w:eastAsia="Arial" w:hAnsi="Arial"/>
          <w:b/>
          <w:bCs/>
          <w:sz w:val="22"/>
          <w:szCs w:val="22"/>
        </w:rPr>
        <w:t xml:space="preserve">Emergency Policy Patch: </w:t>
      </w:r>
      <w:r>
        <w:rPr>
          <w:rFonts w:ascii="Arial" w:cs="Arial" w:eastAsia="Arial" w:hAnsi="Arial"/>
          <w:sz w:val="22"/>
          <w:szCs w:val="22"/>
        </w:rPr>
        <w:t xml:space="preserve">Wyjątek od okna kwartalnego dla zmian podyktowanych siłą wyższą (nowelizacja prawa powszechnego, krytyczny audyt bezpieczeństwa, nakaz regulatora). Wymaga: zgody Zarządu + CTO + wpisu w Audit Ledger. Nawet Emergency Patch musi przejść zautomatyzowane testy regresyjne (CI pipeline / Policy Assertion Suite) przed deploymentem na produkcję. Obchodzenie testów zablokowane na poziomie repozytorium (branch protection). Post-mortem w 14 dni.</w:t>
      </w:r>
    </w:p>
    <w:p>
      <w:pPr>
        <w:pStyle w:val="Heading2"/>
      </w:pPr>
      <w:r>
        <w:t xml:space="preserve">6.3. Eskalacja Soft → Hard + Sunset Clause</w:t>
      </w:r>
    </w:p>
    <w:p>
      <w:pPr>
        <w:spacing w:after="120"/>
      </w:pPr>
      <w:r>
        <w:rPr>
          <w:rFonts w:ascii="Arial" w:cs="Arial" w:eastAsia="Arial" w:hAnsi="Arial"/>
          <w:sz w:val="22"/>
          <w:szCs w:val="22"/>
        </w:rPr>
        <w:t xml:space="preserve">Soft Gate promowany do Hard Gate gdy: (a) występuje częściej niż raz na miesiąc, (b) naruszenie spowodowało incydent, (c) audytor ISO wymaga twardej kontroli. Decyzja: Zarząd + CTO.</w:t>
      </w:r>
    </w:p>
    <w:p>
      <w:pPr>
        <w:spacing w:after="120"/>
      </w:pPr>
      <w:r>
        <w:rPr>
          <w:rFonts w:ascii="Arial" w:cs="Arial" w:eastAsia="Arial" w:hAnsi="Arial"/>
          <w:b/>
          <w:bCs/>
          <w:sz w:val="22"/>
          <w:szCs w:val="22"/>
        </w:rPr>
        <w:t xml:space="preserve">Sunset Clause: </w:t>
      </w:r>
      <w:r>
        <w:rPr>
          <w:rFonts w:ascii="Arial" w:cs="Arial" w:eastAsia="Arial" w:hAnsi="Arial"/>
          <w:sz w:val="22"/>
          <w:szCs w:val="22"/>
        </w:rPr>
        <w:t xml:space="preserve">Soft Gate operacyjny/UX nieaktywowany przez 2 kwartały → Deprecated → usuwany. Wyjątek: reguły ISO (27001, 37001, 37301) i RODO nie podlegają automatycznej deprecjacji — brak aktywacji to dowód działania systemu, nie zbędności reguły.</w:t>
      </w:r>
    </w:p>
    <w:p>
      <w:pPr>
        <w:pStyle w:val="Heading2"/>
      </w:pPr>
      <w:r>
        <w:t xml:space="preserve">6.4. Przegląd rejestru</w:t>
      </w:r>
    </w:p>
    <w:p>
      <w:pPr>
        <w:spacing w:after="120"/>
      </w:pPr>
      <w:r>
        <w:rPr>
          <w:rFonts w:ascii="Arial" w:cs="Arial" w:eastAsia="Arial" w:hAnsi="Arial"/>
          <w:sz w:val="22"/>
          <w:szCs w:val="22"/>
        </w:rPr>
        <w:t xml:space="preserve">Pełny przegląd rejestru: nie rzadziej niż co 12 miesięcy, równolegle z przeglądem dokumentu Normy Zewnętrzne. Drobne korekty (bez zmiany Hard Gates): w kwartalnym oknie zmian reguł.</w:t>
      </w:r>
    </w:p>
    <w:p>
      <w:pPr>
        <w:pStyle w:val="Heading2"/>
      </w:pPr>
      <w:r>
        <w:t xml:space="preserve">6.5. Gwarancja deterministyczności ratingu</w:t>
      </w:r>
    </w:p>
    <w:p>
      <w:pPr>
        <w:spacing w:after="120"/>
      </w:pPr>
      <w:r>
        <w:rPr>
          <w:rFonts w:ascii="Arial" w:cs="Arial" w:eastAsia="Arial" w:hAnsi="Arial"/>
          <w:b/>
          <w:bCs/>
          <w:sz w:val="22"/>
          <w:szCs w:val="22"/>
        </w:rPr>
        <w:t xml:space="preserve">Każdy rating wydany przez Certo musi być deterministycznie odtwarzalny dla tego samego zestawu danych wejściowych, wersji metodologii oraz zestawu reguł obowiązujących w momencie jego wydania. Wszelkie próby ponownego obliczenia ratingu z użyciem tych samych parametrów muszą prowadzić do identycznego wyniku. Wyjątek: po prawomocnym zniszczeniu danych źródłowych (crypto-shredding, NK-016) fizyczna re-kalkulacja jest celowo niemożliwa. R-BOM staje się wówczas dowodem historycznej integralności (dowód, że w momencie wydania ratingu wynik matematycznie zgadzał się z wejściem).</w:t>
      </w:r>
    </w:p>
    <w:p>
      <w:pPr>
        <w:spacing w:after="120"/>
      </w:pPr>
      <w:r>
        <w:rPr>
          <w:rFonts w:ascii="Arial" w:cs="Arial" w:eastAsia="Arial" w:hAnsi="Arial"/>
          <w:sz w:val="22"/>
          <w:szCs w:val="22"/>
        </w:rPr>
        <w:t xml:space="preserve">Mechanizm: R-BOM (Rating Bill of Materials) zawiera hash danych wejściowych + hash warstwy logicznej metodologii (semantic version, nie hash PDF) + hash reguł CE (policy hash) + hash obrazu kontenera (container image SHA) + normative_path[] (lista norm wykonanych przy decyzji) + supply_chain_verification (sigstore/cosign) — pełny determinizm na przestrzeni lat, eliminuje błędy IEEE 754 między wersjami runtime). Jeśli w procesie uczestniczył Delegat AI: prompt_hash (prompt + parametry: seed, temperature) ORAZ frozen_output_hash (kryptograficzny hash autoryzowanego przez człowieka outputu Delegata) + model_version_id (np. gpt-4-1106-preview, claude-3-opus-20240229 — sam hash to za mało, producenci modeli podmieniają wagi). LLM nie gwarantują pełnego determinizmu sprzętowego — dlatego R-BOM udowadnia, że człowiek zaakceptował konkretny draft z konkretnych danych bazowych, a matematyka wyniku punktowego się zgadza. AI to zaawansowana maszyna do pisania — jej generacja nie musi być deterministyczna, deterministyczny musi być autoryzowany artefakt. R-BOM: PII szyfrowane DEK przed uploadem na WORM. Merkle tree haszuje ciphertext (nie plaintext): Hash(Encrypt(DEK, PII)). Po crypto-shreddingu: PII przepada (RODO), ale audytor waliduje integralność R-BOM (hash ciphertextu). Jeśli break_glass_active=true, flaga MUSI być w publicznym R-BOM (transparentność rynkowa ISO 37301 / IOSCO). Prze-obliczenie ratingu z tymi samymi wejściami musi dać identyczny wynik. Rating Time-Travel: CLI tool certo verify rating_bundle.zip replikuje decyzję z artefaktów (verify_merkle + verify_timestamp + verify_policy + recompute_decision). Audytor nie musi ufać Certo. Rozbieżność = incydent bezpieczeństwa (NK-031). External Trust Anchor: daily Merkle root → RFC3161 TSA (+ opcjonalnie blockchain anchor). Public Transparency Log: daily_rating_log.json (lista rbom_hash opublikowanych ratingów). System Integrity Check: Integrity Sentinel (verify merkle + policy_hash + S3 + timestamps). Reguła NK-017 (Methodology Version Lock) gwarantuje powiązanie ratingu z wersją metodologii.</w:t>
      </w:r>
    </w:p>
    <w:p>
      <w:pPr>
        <w:pStyle w:val="Heading2"/>
      </w:pPr>
      <w:r>
        <w:t xml:space="preserve">6.6. Compliance Engine: tylko punkty decyzyjne</w:t>
      </w:r>
    </w:p>
    <w:p>
      <w:pPr>
        <w:spacing w:after="120"/>
      </w:pPr>
      <w:r>
        <w:rPr>
          <w:rFonts w:ascii="Arial" w:cs="Arial" w:eastAsia="Arial" w:hAnsi="Arial"/>
          <w:b/>
          <w:bCs/>
          <w:sz w:val="22"/>
          <w:szCs w:val="22"/>
        </w:rPr>
        <w:t xml:space="preserve">Compliance Engine jest wywoływany wyłącznie w punktach decyzyjnych systemu (decision points), nie w operacjach obliczeniowych lub odczytowych.</w:t>
      </w:r>
    </w:p>
    <w:p>
      <w:pPr>
        <w:spacing w:after="120"/>
      </w:pPr>
      <w:r>
        <w:rPr>
          <w:rFonts w:ascii="Arial" w:cs="Arial" w:eastAsia="Arial" w:hAnsi="Arial"/>
          <w:sz w:val="22"/>
          <w:szCs w:val="22"/>
        </w:rPr>
        <w:t xml:space="preserve">Punkty decyzyjne (CE wymagany): publikacja ratingu, zatwierdzenie metodologii, przypisanie ewaluatora, egzekucja uchwały, rejestracja darowizny (REGISTER_RAW_DONATION + PROCESS_DONATION), korekta ratingu (REVISE_RATING), zatwierdzenie crypto-shreddingu (APPROVE_SHREDDING), nadpisanie sankcji AML (OVERRIDE_SANCTIONS). Operacje wolne od CE: odczyt danych (GET), obliczanie ratingu, generowanie raportów, wyświetlanie dashboardów, generowanie R-BOM. Dry-Run API: endpoint ?dry_run=true pozwala frontendowi zapytać OPA bez mutacji DB. Kontrola dostępu przy odczytach realizowana przez RBAC snapshot w tokenie sesyjnym (NK-001) przy zapisach (Postgres check &lt;1ms, Zero Redis). Wyjątek: odczyt danych poufnych/zastrzeżonych generuje asynchroniczny zapis w Audit Trail (Read Audit Log) — wymagane przez RODO i ISO 27001, bez obciążenia Policy Engine.</w:t>
      </w:r>
    </w:p>
    <w:p>
      <w:pPr>
        <w:pStyle w:val="Heading2"/>
      </w:pPr>
      <w:r>
        <w:t xml:space="preserve">6.7. Ochrona przed policy drift</w:t>
      </w:r>
    </w:p>
    <w:p>
      <w:pPr>
        <w:spacing w:after="120"/>
      </w:pPr>
      <w:r>
        <w:rPr>
          <w:rFonts w:ascii="Arial" w:cs="Arial" w:eastAsia="Arial" w:hAnsi="Arial"/>
          <w:b/>
          <w:bCs/>
          <w:sz w:val="22"/>
          <w:szCs w:val="22"/>
        </w:rPr>
        <w:t xml:space="preserve">Implementacja Compliance Engine musi pozostawać zgodna z obowiązującym Policy Registry. Policy Registry stanowi źródło prawdy (source of truth) dla zasad systemu. Każda zmiana reguł wymaga jednoczesnej aktualizacji rejestru i przejścia testów Policy Assertion Suite.</w:t>
      </w:r>
    </w:p>
    <w:p>
      <w:pPr>
        <w:spacing w:after="120"/>
      </w:pPr>
      <w:r>
        <w:rPr>
          <w:rFonts w:ascii="Arial" w:cs="Arial" w:eastAsia="Arial" w:hAnsi="Arial"/>
          <w:sz w:val="22"/>
          <w:szCs w:val="22"/>
        </w:rPr>
        <w:t xml:space="preserve">Mechanizmy ochrony: (1) Policy hash — każda wersja zestawu reguł ma hash SHA-256, zapisywany w R-BOM każdego ratingu. (2) Policy Assertion Suite — automatyczne testy uruchamiane przy każdym deploymencie, weryfikujące zgodność implementacji z rejestrem. (3) Branch protection — zmiany w repozytorium reguł wymagają 2 approvals + CI green. (4) Signed builds — artefakt deploymentu podpisany kryptograficznie; manual deploy zablokowany. (5) OPA Bundle API z podpisami kryptograficznymi — CI/CD buduje bundle .tar.gz, podpisuje kluczem Fundacji. Kontenery pobierają automatycznie (bez restartu). Prawo deployuje się niezależnie od kodu. (6) Policy Pinning per case — sprawa przypinana do wersji polityk z momentu rozpoczęcia ewaluacji.</w:t>
      </w:r>
    </w:p>
    <w:p>
      <w:pPr>
        <w:pStyle w:val="Heading2"/>
      </w:pPr>
      <w:r>
        <w:t xml:space="preserve">6.8. Pre-check workflow (publikacja ratingu)</w:t>
      </w:r>
    </w:p>
    <w:p>
      <w:pPr>
        <w:spacing w:after="120"/>
      </w:pPr>
      <w:r>
        <w:rPr>
          <w:rFonts w:ascii="Arial" w:cs="Arial" w:eastAsia="Arial" w:hAnsi="Arial"/>
          <w:sz w:val="22"/>
          <w:szCs w:val="22"/>
        </w:rPr>
        <w:t xml:space="preserve">Transactional Outbox: API robi JEDEN atomowy COMMIT (UPDATE rating + INSERT audit_event + INSERT outbox_events). Worker (Graphile Worker) realizuje upload na S3 WORM w tle z retry/exponential backoff. PRE_PUBLISH_INTENT: append-only audit event PRZED S3 (osobna transakcja). Idempotentność: rating.status==PUBLISHED → HTTP 200 (Already Published). Event-driven reconciliation: task_queue check_orphan. 3 niezależne workery (Separation of Duties): Operational (CRBR, KYC, conflict), Evidence (Merkle, eIDAS, S3), Integrity Sentinel (weryfikacja).</w:t>
      </w:r>
    </w:p>
    <w:p>
      <w:r>
        <w:br w:type="page"/>
      </w:r>
    </w:p>
    <w:p>
      <w:pPr>
        <w:pStyle w:val="Heading1"/>
      </w:pPr>
      <w:r>
        <w:t xml:space="preserve">7. Odpowiedzialność instytucjonalna (Human Accountability Layer)</w:t>
      </w:r>
    </w:p>
    <w:p>
      <w:pPr>
        <w:spacing w:after="120"/>
      </w:pPr>
      <w:r>
        <w:rPr>
          <w:rFonts w:ascii="Arial" w:cs="Arial" w:eastAsia="Arial" w:hAnsi="Arial"/>
          <w:b/>
          <w:bCs/>
          <w:sz w:val="22"/>
          <w:szCs w:val="22"/>
        </w:rPr>
        <w:t xml:space="preserve">Rating Certo jest decyzją instytucjonalną podejmowaną przez uprawnione organy Fundacji Certo. System Compliance Engine egzekwuje zasady procesu, ale nie zastępuje odpowiedzialności organów. System może zablokować publikację, ale nie może zablokować decyzji organu — organ zawsze może podjąć decyzję, której egzekucja systemowa wymaga spełnienia warunków normatywnych. System AI (Delegat) nie może samodzielnie publikować, modyfikować ani zatwierdzać ratingów.</w:t>
      </w:r>
    </w:p>
    <w:p>
      <w:pPr>
        <w:spacing w:after="120"/>
      </w:pPr>
      <w:r>
        <w:rPr>
          <w:rFonts w:ascii="Arial" w:cs="Arial" w:eastAsia="Arial" w:hAnsi="Arial"/>
          <w:sz w:val="22"/>
          <w:szCs w:val="22"/>
        </w:rPr>
        <w:t xml:space="preserve">Podział władzy nad regułami systemu: metodologia → Kolegium Standardu Certo (§13). Reguły governance → Zarząd + opinia Izby Nadzoru. Implementacja techniczna → CTO Spółki Certo ID PSA. Fundacja Certo jest właścicielem zasad systemu; Spółka jedynie utrzymuje infrastrukturę technologiczną. Żadna z tych władz nie może działać w zakresie innej — zapobiega to technical governance capture.</w:t>
      </w:r>
    </w:p>
    <w:p>
      <w:pPr>
        <w:spacing w:after="120"/>
      </w:pPr>
      <w:r>
        <w:rPr>
          <w:rFonts w:ascii="Arial" w:cs="Arial" w:eastAsia="Arial" w:hAnsi="Arial"/>
          <w:sz w:val="22"/>
          <w:szCs w:val="22"/>
        </w:rPr>
        <w:t xml:space="preserve">Korekta ratingu (W7 Rating Revision): rating opublikowany w Certo nie podlega modyfikacji. Nowe informacje skutkują publikacją nowej decyzji kryptograficznie powiązanej z pierwotną (supersedes_rating_id + supersedes_rbom_hash). Typy: REVISION_NEW_EVIDENCE, DATA_ERROR, METHOD_ERROR, FRAUD_DISCOVERY, REGULATORY_ORDER. NK-021 Evidence Materiality chroni przed migotaniem. NK-005 Wzmocniony: Checker = Izba/Kolegium. Transparency Log: rating_revision_event. Stare ratingi = SUPERSEDED (nigdy kasowane).</w:t>
      </w:r>
    </w:p>
    <w:p>
      <w:pPr>
        <w:spacing w:after="120"/>
      </w:pPr>
      <w:r>
        <w:rPr>
          <w:rFonts w:ascii="Arial" w:cs="Arial" w:eastAsia="Arial" w:hAnsi="Arial"/>
          <w:sz w:val="22"/>
          <w:szCs w:val="22"/>
        </w:rPr>
        <w:t xml:space="preserve">Firewall organizacyjny: działalność komercyjna Spółki (licencje, Certo Online) jest organizacyjnie oddzielona od działalności ratingowej Fundacji (§7 ust. 3 Statutu). Zespoły i procesy nie mieszają się.</w:t>
      </w:r>
    </w:p>
    <w:p>
      <w:pPr>
        <w:spacing w:after="120"/>
      </w:pPr>
      <w:r>
        <w:rPr>
          <w:rFonts w:ascii="Arial" w:cs="Arial" w:eastAsia="Arial" w:hAnsi="Arial"/>
          <w:b/>
          <w:bCs/>
          <w:sz w:val="22"/>
          <w:szCs w:val="22"/>
        </w:rPr>
        <w:t xml:space="preserve">Zasada niezależności finansowej: Certo nie uzależnia wydania, zmiany ani publikacji ratingu od jakiejkolwiek formy wynagrodzenia, relacji biznesowej lub finansowej z podmiotem ocenianym. Certo prowadzi działalność ewaluacyjną i ratingową w sposób niezależny od interesów finansowych podmiotów ocenianych.</w:t>
      </w:r>
    </w:p>
    <w:p>
      <w:pPr>
        <w:pStyle w:val="Heading2"/>
      </w:pPr>
      <w:r>
        <w:t xml:space="preserve">7.1. Break-Glass: uprawnienia personalne</w:t>
      </w:r>
    </w:p>
    <w:p>
      <w:pPr>
        <w:spacing w:after="120"/>
      </w:pPr>
      <w:r>
        <w:rPr>
          <w:rFonts w:ascii="Arial" w:cs="Arial" w:eastAsia="Arial" w:hAnsi="Arial"/>
          <w:sz w:val="22"/>
          <w:szCs w:val="22"/>
        </w:rPr>
        <w:t xml:space="preserve">Break-Glass (STANDARD lub RADIOACTIVE) może zostać uruchomiony wyłącznie przez minimum dwóch uprawnionych reprezentantów z oddzielnych organów/pionów: Zarząd, Izba Nadzoru, Bezpieczeństwo IT (kworum 2-of-3, z dwóch różnych pionów). Lista uprawnionych zastępców definiowana w Procedurze Ciągłości Działania. Jedna osoba nie może uruchomić Break-Glass samodzielnie. Administratorzy systemu nie posiadają samodzielnej możliwości dezaktywacji reguł Compliance Engine. Break-Glass Drill: co 6 miesięcy obowiązkowy test procedury Break-Glass „na sucho” (ISO 22301). System wymusza autoryzację próbną z flagą drill wykonywany w środowisku lustrzanym (Staging/Pre-Prod), które fizycznie blokuje testowe ratingi i wysyła rzeczywiste alerty testowe. Na produkcji jedynym drillem jest potwierdzenie audytowe dostępu do fizycznych tokenów (Key Ceremony — weryfikacja YubiKey + PIN). Nigdy bypass logiki produkcyjnej.</w:t>
      </w:r>
    </w:p>
    <w:p>
      <w:pPr>
        <w:pStyle w:val="Heading2"/>
      </w:pPr>
      <w:r>
        <w:t xml:space="preserve">7.2. Hold Mode (Manual Fallback)</w:t>
      </w:r>
    </w:p>
    <w:p>
      <w:pPr>
        <w:spacing w:after="120"/>
      </w:pPr>
      <w:r>
        <w:rPr>
          <w:rFonts w:ascii="Arial" w:cs="Arial" w:eastAsia="Arial" w:hAnsi="Arial"/>
          <w:sz w:val="22"/>
          <w:szCs w:val="22"/>
        </w:rPr>
        <w:t xml:space="preserve">W przypadku niedostępności systemu Certo Online instytucja przechodzi w tryb Hold Mode: procesy toczące się są dokumentowane ręcznie (papierowo/offline), posiedzenia organów prowadzone poza systemem z protokołem. Co do zasady żaden nowy rating nie jest wydawany poza systemem (R-BOM wymaga integralnego systemu). Wyjątek: jeśli terminy ustawowe/umowne tego wymagają, dopuszcza się Emergency Offline R-BOM — kryptograficzny hash paczki ewaluacyjnej generowany przez dedykowany, podpisany kryptograficznie plik binarny (Certo Offline Tool) na izolowanym urządzeniu (air-gapped). Certo Offline Tool zawiera zamrożoną logikę i wagi metodologii obowiązującej w danym czasie. Kompilacja i podpisanie nowej wersji Offline Tool jest obligatoryjnym, zautomatyzowanym krokiem w pipeline CI/CD przy każdym wydaniu nowej wersji metodologii (NK-017). Fizyczne podpisy 2 członków Zarządu. Dane źródłowe: system cyklicznie (co 24h) zrzuca zaszyfrowane paczki danych trwających ewaluacji (Emergency Evaluation Bundle) do Certo Vault Account. Szyfrowanie asymetryczne kluczem publicznym wyznaczonych członków Zarządu. Klucze prywatne nieeksportowalne, rezydują wyłącznie na fizycznych tokenach kryptograficznych (YubiKey FIPS 140-2 Level 3). Deszyfracja wymaga PIN + fizyczne dotknięcie tokena w reżimie air-gapped. W awarii: Zarząd pobiera Bundle, deszyfruje i zasila Certo Offline Tool. Po przywóceniu systemu: rekoncyliacja i włączenie do Audit Ledger w ciągu 48h. Awaria systemu nie wstrzymuje biegu terminów ustawowych i regulaminowych. Po przywóceniu systemu Compliance Engine rekalibruje stan na podstawie czasu rzeczywistego. Dokumenty złożone offline w trakcie awarii wprowadzane z datą ich fizycznego wpływu. Po przywóceniu systemu dane wprowadzane retrospektywnie z pełnym Audit Trail. Tryb manualny podlega tym samym zasadom governance co tryb systemowy; Compliance Engine stanowi narzędzie egzekucji zasad, nie ich źródło.</w:t>
      </w:r>
    </w:p>
    <w:p>
      <w:r>
        <w:br w:type="page"/>
      </w:r>
    </w:p>
    <w:p>
      <w:pPr>
        <w:pStyle w:val="Heading1"/>
      </w:pPr>
      <w:r>
        <w:t xml:space="preserve">8. Następne kroki</w:t>
      </w:r>
    </w:p>
    <w:p>
      <w:pPr>
        <w:spacing w:after="120"/>
      </w:pPr>
      <w:r>
        <w:rPr>
          <w:rFonts w:ascii="Arial" w:cs="Arial" w:eastAsia="Arial" w:hAnsi="Arial"/>
          <w:sz w:val="22"/>
          <w:szCs w:val="22"/>
        </w:rPr>
        <w:t xml:space="preserve">Po zatwierdzeniu niniejszego rejestru:</w:t>
      </w:r>
    </w:p>
    <w:p>
      <w:pPr>
        <w:spacing w:after="120"/>
      </w:pPr>
      <w:r>
        <w:rPr>
          <w:rFonts w:ascii="Arial" w:cs="Arial" w:eastAsia="Arial" w:hAnsi="Arial"/>
          <w:b/>
          <w:bCs/>
          <w:sz w:val="22"/>
          <w:szCs w:val="22"/>
        </w:rPr>
        <w:t xml:space="preserve">Deliverable B: </w:t>
      </w:r>
      <w:r>
        <w:rPr>
          <w:rFonts w:ascii="Arial" w:cs="Arial" w:eastAsia="Arial" w:hAnsi="Arial"/>
          <w:sz w:val="22"/>
          <w:szCs w:val="22"/>
        </w:rPr>
        <w:t xml:space="preserve">Specyfikacja techniczna Compliance Engine (ADR). Schema bazy danych, API modułów, format reguł w kodzie.</w:t>
      </w:r>
    </w:p>
    <w:p>
      <w:pPr>
        <w:spacing w:after="120"/>
      </w:pPr>
      <w:r>
        <w:rPr>
          <w:rFonts w:ascii="Arial" w:cs="Arial" w:eastAsia="Arial" w:hAnsi="Arial"/>
          <w:b/>
          <w:bCs/>
          <w:sz w:val="22"/>
          <w:szCs w:val="22"/>
        </w:rPr>
        <w:t xml:space="preserve">Deliverable C: </w:t>
      </w:r>
      <w:r>
        <w:rPr>
          <w:rFonts w:ascii="Arial" w:cs="Arial" w:eastAsia="Arial" w:hAnsi="Arial"/>
          <w:sz w:val="22"/>
          <w:szCs w:val="22"/>
        </w:rPr>
        <w:t xml:space="preserve">Diagramy procesów — 7 workflowów (W1–W7 incl. W7 Rating Revision) z bramkami normowymi (ID reguł z niniejszego rejestru).</w:t>
      </w:r>
    </w:p>
    <w:p>
      <w:pPr>
        <w:spacing w:before="200"/>
      </w:pPr>
    </w:p>
    <w:p>
      <w:pPr>
        <w:spacing w:after="120"/>
      </w:pPr>
      <w:r>
        <w:rPr>
          <w:rFonts w:ascii="Arial" w:cs="Arial" w:eastAsia="Arial" w:hAnsi="Arial"/>
          <w:i/>
          <w:iCs/>
          <w:color w:val="999999"/>
          <w:sz w:val="20"/>
          <w:szCs w:val="20"/>
        </w:rPr>
        <w:t xml:space="preserve">Koniec dokumentu.</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6"/>
      </w:pBdr>
      <w:jc w:val="center"/>
    </w:pPr>
    <w:r>
      <w:rPr>
        <w:rFonts w:ascii="Arial" w:cs="Arial" w:eastAsia="Arial" w:hAnsi="Arial"/>
        <w:color w:val="999999"/>
        <w:sz w:val="14"/>
        <w:szCs w:val="14"/>
      </w:rPr>
      <w:t xml:space="preserve">Deliverable A: Policy Registry  |  Marzec 2026  |  Strona </w:t>
    </w:r>
    <w:r>
      <w:rPr>
        <w:rFonts w:ascii="Arial" w:cs="Arial" w:eastAsia="Arial" w:hAnsi="Arial"/>
        <w:color w:val="999999"/>
        <w:sz w:val="14"/>
        <w:szCs w:val="14"/>
      </w:rPr>
      <w:t xml:space="preserve">PAGE_NUMBER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4" w:space="6"/>
      </w:pBdr>
      <w:jc w:val="right"/>
    </w:pPr>
    <w:r>
      <w:rPr>
        <w:rFonts w:ascii="Arial" w:cs="Arial" w:eastAsia="Arial" w:hAnsi="Arial"/>
        <w:b/>
        <w:bCs/>
        <w:color w:val="2E5090"/>
        <w:sz w:val="16"/>
        <w:szCs w:val="16"/>
      </w:rPr>
      <w:t xml:space="preserve">CERTO GOVERNANCE INSTITUTE</w:t>
    </w:r>
    <w:r>
      <w:rPr>
        <w:rFonts w:ascii="Arial" w:cs="Arial" w:eastAsia="Arial" w:hAnsi="Arial"/>
        <w:color w:val="666666"/>
        <w:sz w:val="16"/>
        <w:szCs w:val="16"/>
      </w:rPr>
      <w:t xml:space="preserve">  |  Policy Registry  |  Sprint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40"/>
      <w:outlineLvl w:val="0"/>
    </w:pPr>
    <w:rPr>
      <w:rFonts w:ascii="Arial" w:cs="Arial" w:eastAsia="Arial" w:hAnsi="Arial"/>
      <w:b/>
      <w:bCs/>
      <w:color w:val="1A1A2E"/>
      <w:sz w:val="34"/>
      <w:szCs w:val="34"/>
    </w:rPr>
  </w:style>
  <w:style w:type="paragraph" w:styleId="Heading2">
    <w:name w:val="Heading 2"/>
    <w:basedOn w:val="Normal"/>
    <w:next w:val="Normal"/>
    <w:qFormat/>
    <w:pPr>
      <w:spacing w:before="320" w:after="180"/>
      <w:outlineLvl w:val="1"/>
    </w:pPr>
    <w:rPr>
      <w:rFonts w:ascii="Arial" w:cs="Arial" w:eastAsia="Arial" w:hAnsi="Arial"/>
      <w:b/>
      <w:bCs/>
      <w:color w:val="2E5090"/>
      <w:sz w:val="28"/>
      <w:szCs w:val="28"/>
    </w:rPr>
  </w:style>
  <w:style w:type="paragraph" w:styleId="Heading3">
    <w:name w:val="Heading 3"/>
    <w:basedOn w:val="Normal"/>
    <w:next w:val="Normal"/>
    <w:qFormat/>
    <w:pPr>
      <w:spacing w:before="240" w:after="140"/>
      <w:outlineLvl w:val="2"/>
    </w:pPr>
    <w:rPr>
      <w:rFonts w:ascii="Arial" w:cs="Arial" w:eastAsia="Arial" w:hAnsi="Arial"/>
      <w:b/>
      <w:bCs/>
      <w:color w:val="3A3A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2026-03-16T09:11:34.512Z</dcterms:created>
  <dcterms:modified xsi:type="dcterms:W3CDTF">2026-03-16T09:11:34.514Z</dcterms:modified>
</cp:coreProperties>
</file>

<file path=docProps/custom.xml><?xml version="1.0" encoding="utf-8"?>
<Properties xmlns="http://schemas.openxmlformats.org/officeDocument/2006/custom-properties" xmlns:vt="http://schemas.openxmlformats.org/officeDocument/2006/docPropsVTypes"/>
</file>