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114300" distR="114300">
            <wp:extent cx="4191635" cy="571944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5811" t="19319" r="15373" b="8101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热力分布示例图1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95520" cy="37033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1729" t="14779" b="2159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热力分布示例图2</w:t>
      </w:r>
    </w:p>
    <w:tbl>
      <w:tblPr>
        <w:tblStyle w:val="3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行内业务</w:t>
            </w:r>
          </w:p>
        </w:tc>
        <w:tc>
          <w:tcPr>
            <w:tcW w:w="1750" w:type="dxa"/>
            <w:vMerge w:val="restart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按总交易金额，总交易笔数对比。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跨行业务</w:t>
            </w:r>
          </w:p>
        </w:tc>
        <w:tc>
          <w:tcPr>
            <w:tcW w:w="175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中间业务</w:t>
            </w:r>
          </w:p>
        </w:tc>
        <w:tc>
          <w:tcPr>
            <w:tcW w:w="175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其他业务</w:t>
            </w:r>
          </w:p>
        </w:tc>
        <w:tc>
          <w:tcPr>
            <w:tcW w:w="175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tbl>
      <w:tblPr>
        <w:tblStyle w:val="3"/>
        <w:tblW w:w="4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17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行内业务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存款</w:t>
            </w:r>
          </w:p>
        </w:tc>
        <w:tc>
          <w:tcPr>
            <w:tcW w:w="1752" w:type="dxa"/>
            <w:vMerge w:val="restart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按交易金额，交易笔数对比。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取款</w:t>
            </w:r>
          </w:p>
        </w:tc>
        <w:tc>
          <w:tcPr>
            <w:tcW w:w="175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转账</w:t>
            </w:r>
          </w:p>
        </w:tc>
        <w:tc>
          <w:tcPr>
            <w:tcW w:w="175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4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171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跨行业务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取现</w:t>
            </w:r>
          </w:p>
        </w:tc>
        <w:tc>
          <w:tcPr>
            <w:tcW w:w="1760" w:type="dxa"/>
            <w:vMerge w:val="restart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按交易金额，交易笔数对比。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转账</w:t>
            </w:r>
          </w:p>
        </w:tc>
        <w:tc>
          <w:tcPr>
            <w:tcW w:w="176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4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171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中间业务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水费</w:t>
            </w:r>
          </w:p>
        </w:tc>
        <w:tc>
          <w:tcPr>
            <w:tcW w:w="1760" w:type="dxa"/>
            <w:vMerge w:val="restart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按交易金额，交易笔数对比。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电费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燃气费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暖气费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社保费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4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171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其他业务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电子现金</w:t>
            </w:r>
          </w:p>
        </w:tc>
        <w:tc>
          <w:tcPr>
            <w:tcW w:w="1760" w:type="dxa"/>
            <w:vMerge w:val="restart"/>
          </w:tcPr>
          <w:p>
            <w:pPr>
              <w:jc w:val="both"/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按交易金额或者交易笔数对比。</w:t>
            </w:r>
          </w:p>
          <w:p>
            <w:pPr>
              <w:jc w:val="both"/>
              <w:rPr>
                <w:rFonts w:hint="eastAsia"/>
                <w:highlight w:val="red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这个对比稍有点特殊，因为从‘</w:t>
            </w:r>
            <w:r>
              <w:rPr>
                <w:rFonts w:hint="eastAsia"/>
              </w:rPr>
              <w:t>其他签约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’往后都是只有交易笔数，没有金额。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贷款还款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定活互转及通知存款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其他签约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发卡换卡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卡片激活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口头挂失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回单打印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存折补登</w:t>
            </w:r>
          </w:p>
        </w:tc>
        <w:tc>
          <w:tcPr>
            <w:tcW w:w="17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C208D"/>
    <w:rsid w:val="039C208D"/>
    <w:rsid w:val="37B015DC"/>
    <w:rsid w:val="3C525A3C"/>
    <w:rsid w:val="64CB1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2019-05-30T01:58:00Z</dcterms:created>
  <dc:creator>报废的旧轮胎</dc:creator>
  <cp:lastModifiedBy>报废的旧轮胎</cp:lastModifiedBy>
  <dcterms:modified xsi:type="dcterms:W3CDTF">2019-06-03T01:10:06Z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