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6"/>
          <w:szCs w:val="56"/>
          <w:lang w:val="en-US" w:eastAsia="zh-CN"/>
        </w:rPr>
      </w:pPr>
      <w:r>
        <w:rPr>
          <w:rFonts w:hint="eastAsia"/>
          <w:b/>
          <w:bCs/>
          <w:sz w:val="56"/>
          <w:szCs w:val="56"/>
          <w:lang w:val="en-US" w:eastAsia="zh-CN"/>
        </w:rPr>
        <w:t>新密市农商行不良资产管理系统</w:t>
      </w:r>
    </w:p>
    <w:p>
      <w:pPr>
        <w:jc w:val="center"/>
        <w:rPr>
          <w:rFonts w:hint="eastAsia"/>
          <w:b/>
          <w:bCs/>
          <w:sz w:val="56"/>
          <w:szCs w:val="56"/>
          <w:lang w:val="en-US" w:eastAsia="zh-CN"/>
        </w:rPr>
      </w:pPr>
      <w:r>
        <w:rPr>
          <w:rFonts w:hint="eastAsia"/>
          <w:b/>
          <w:bCs/>
          <w:sz w:val="56"/>
          <w:szCs w:val="56"/>
          <w:lang w:val="en-US" w:eastAsia="zh-CN"/>
        </w:rPr>
        <w:t>操作手册V1.0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2019-05-2</w:t>
      </w:r>
      <w:r>
        <w:rPr>
          <w:rFonts w:hint="default" w:ascii="微软雅黑" w:hAnsi="微软雅黑" w:eastAsia="微软雅黑" w:cs="微软雅黑"/>
          <w:sz w:val="40"/>
          <w:szCs w:val="48"/>
          <w:lang w:val="en-US" w:eastAsia="zh-CN"/>
        </w:rPr>
        <w:t>8</w:t>
      </w:r>
    </w:p>
    <w:p>
      <w:pPr>
        <w:jc w:val="center"/>
        <w:rPr>
          <w:rFonts w:hint="default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编撰人：赵琦 15138935070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系统要求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操作系统：windows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浏览器：Firefox或者Google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登录用户名与密码：工号（例如 刘敏的工号</w:t>
      </w:r>
      <w:r>
        <w:rPr>
          <w:rFonts w:ascii="宋体" w:hAnsi="宋体" w:eastAsia="宋体" w:cs="宋体"/>
          <w:sz w:val="24"/>
          <w:szCs w:val="24"/>
        </w:rPr>
        <w:t>00520032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），默认密码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111111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其它工具：PDF阅读器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登录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44392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输入登录账号、密码与验证码(不区分大小写)，点击登录按钮。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系统管理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菜单管理</w:t>
      </w:r>
    </w:p>
    <w:p>
      <w:pPr>
        <w:numPr>
          <w:ilvl w:val="0"/>
          <w:numId w:val="2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使用npa管理员登录系统；</w:t>
      </w:r>
    </w:p>
    <w:p>
      <w:pPr>
        <w:numPr>
          <w:ilvl w:val="0"/>
          <w:numId w:val="2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点击左侧‘系统管理’-‘菜单管理’；</w:t>
      </w:r>
    </w:p>
    <w:p>
      <w:pPr>
        <w:numPr>
          <w:ilvl w:val="0"/>
          <w:numId w:val="2"/>
        </w:numPr>
        <w:ind w:left="425" w:leftChars="0" w:hanging="5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点击‘菜单录入’或者‘菜单编辑’可以维护系统菜单。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2499360"/>
            <wp:effectExtent l="0" t="0" r="5080" b="152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菜单管理（图1）</w:t>
      </w:r>
    </w:p>
    <w:p>
      <w:pPr>
        <w:jc w:val="center"/>
      </w:pPr>
      <w:r>
        <w:drawing>
          <wp:inline distT="0" distB="0" distL="114300" distR="114300">
            <wp:extent cx="5269865" cy="4213225"/>
            <wp:effectExtent l="0" t="0" r="698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菜单编辑（图2）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用户管理</w:t>
      </w:r>
    </w:p>
    <w:p>
      <w:pPr>
        <w:numPr>
          <w:ilvl w:val="0"/>
          <w:numId w:val="3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使用npa管理员登录系统；</w:t>
      </w:r>
    </w:p>
    <w:p>
      <w:pPr>
        <w:numPr>
          <w:ilvl w:val="0"/>
          <w:numId w:val="3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点击左侧‘系统管理’-‘用户管理’；</w:t>
      </w:r>
    </w:p>
    <w:p>
      <w:pPr>
        <w:numPr>
          <w:ilvl w:val="0"/>
          <w:numId w:val="3"/>
        </w:numPr>
        <w:ind w:left="425" w:leftChars="0" w:hanging="5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点击‘用户录入’、‘用户编辑’、‘密码重置’、‘锁定用户’、‘激活用户’可以维护系统用户。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5261610" cy="2589530"/>
            <wp:effectExtent l="0" t="0" r="1524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用户编辑（图3）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5269865" cy="3554095"/>
            <wp:effectExtent l="0" t="0" r="698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新增用户（图4）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锁定用户：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当用户离职或者转岗，锁定此账号，可以限制此账号登录系统。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激活用户：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解除账号锁定。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角色管理</w:t>
      </w:r>
    </w:p>
    <w:p>
      <w:pPr>
        <w:numPr>
          <w:ilvl w:val="0"/>
          <w:numId w:val="5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使用npa管理员登录系统；</w:t>
      </w:r>
    </w:p>
    <w:p>
      <w:pPr>
        <w:numPr>
          <w:ilvl w:val="0"/>
          <w:numId w:val="5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点击左侧‘系统管理’-‘角色管理’；</w:t>
      </w:r>
    </w:p>
    <w:p>
      <w:pPr>
        <w:numPr>
          <w:ilvl w:val="0"/>
          <w:numId w:val="5"/>
        </w:numPr>
        <w:ind w:left="425" w:leftChars="0" w:hanging="5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点击‘权限设置’可以维护系统用户系统菜单的访问权限。</w:t>
      </w:r>
    </w:p>
    <w:p>
      <w:pPr>
        <w:jc w:val="center"/>
      </w:pPr>
      <w:r>
        <w:drawing>
          <wp:inline distT="0" distB="0" distL="114300" distR="114300">
            <wp:extent cx="5274310" cy="2595880"/>
            <wp:effectExtent l="0" t="0" r="2540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权限管理（图5）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权限管理：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普通用户选择‘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npa_mag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’角色，勾选右侧的4个菜单，点击右上角的‘保存’图标，分配权限。用户重新登录，权限生效。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注意：权限只用配置一次，用户只要具有npa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_mag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这个角色，即可访问npa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_mag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的菜单（在用户管理功能中配置角色）。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表外不良资产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借款人台账</w:t>
      </w:r>
    </w:p>
    <w:p>
      <w:pPr>
        <w:numPr>
          <w:ilvl w:val="0"/>
          <w:numId w:val="0"/>
        </w:numPr>
        <w:ind w:left="0" w:leftChars="0" w:firstLine="420" w:firstLineChars="175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借款人只能通过录入借款合同的功能录入，此功能可以修改借款人的姓名、身份证号、手机号码、通讯地址信息。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修改：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修改借款人的相关信息。</w:t>
      </w:r>
    </w:p>
    <w:p>
      <w:pPr>
        <w:numPr>
          <w:ilvl w:val="0"/>
          <w:numId w:val="0"/>
        </w:numPr>
        <w:ind w:left="0" w:leftChars="0" w:firstLine="367" w:firstLineChars="175"/>
        <w:jc w:val="center"/>
      </w:pPr>
      <w:r>
        <w:drawing>
          <wp:inline distT="0" distB="0" distL="114300" distR="114300">
            <wp:extent cx="3629025" cy="372427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借款人修改（图6）</w:t>
      </w:r>
    </w:p>
    <w:p>
      <w:pPr>
        <w:numPr>
          <w:ilvl w:val="0"/>
          <w:numId w:val="0"/>
        </w:numPr>
        <w:ind w:left="0" w:leftChars="0" w:firstLine="367" w:firstLineChars="175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担保人台账</w:t>
      </w:r>
    </w:p>
    <w:p>
      <w:pPr>
        <w:numPr>
          <w:ilvl w:val="0"/>
          <w:numId w:val="0"/>
        </w:numPr>
        <w:ind w:left="0" w:leftChars="0" w:firstLine="420" w:firstLineChars="175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担保人只能通过录入借款合同的功能录入，此功能可以修改担保人的姓名、身份证号、手机号码、通讯地址信息。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修改：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修改担保人的相关信息。</w:t>
      </w:r>
    </w:p>
    <w:p>
      <w:pPr>
        <w:numPr>
          <w:ilvl w:val="0"/>
          <w:numId w:val="0"/>
        </w:numPr>
        <w:ind w:left="0" w:leftChars="0" w:firstLine="367" w:firstLineChars="175"/>
        <w:jc w:val="center"/>
      </w:pPr>
      <w:r>
        <w:drawing>
          <wp:inline distT="0" distB="0" distL="114300" distR="114300">
            <wp:extent cx="3571875" cy="3724275"/>
            <wp:effectExtent l="0" t="0" r="952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担保人修改（图6）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法人组织机构台账</w:t>
      </w:r>
    </w:p>
    <w:p>
      <w:pPr>
        <w:jc w:val="center"/>
      </w:pPr>
      <w:r>
        <w:drawing>
          <wp:inline distT="0" distB="0" distL="114300" distR="114300">
            <wp:extent cx="5261610" cy="2581275"/>
            <wp:effectExtent l="0" t="0" r="1524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查看操作员（图7）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新增操作员：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从用户列表里选择账号，新增账号可以查看此支行的所有合同数据。</w:t>
      </w:r>
    </w:p>
    <w:p>
      <w:pPr>
        <w:jc w:val="center"/>
      </w:pPr>
      <w:r>
        <w:drawing>
          <wp:inline distT="0" distB="0" distL="114300" distR="114300">
            <wp:extent cx="5273675" cy="3558540"/>
            <wp:effectExtent l="0" t="0" r="3175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新增操作员（图8）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借款合同台账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借款合同新增：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点击新增按钮，录入借款信息，借款人信息，担保人信息。</w:t>
      </w:r>
    </w:p>
    <w:p>
      <w:pPr>
        <w:jc w:val="center"/>
      </w:pPr>
      <w:r>
        <w:drawing>
          <wp:inline distT="0" distB="0" distL="114300" distR="114300">
            <wp:extent cx="5268595" cy="3529330"/>
            <wp:effectExtent l="0" t="0" r="8255" b="139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新增合同（图9）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提交：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没有提交的合同是不生效的，无法登记收回款记录。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收回款期初值设置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提交后的合同，可以补录已经收回的本金、收回利息、挂息金额（系统初始化时候使用、建议在没有新增回款信息时补充该信息）。</w:t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048125" cy="3190875"/>
            <wp:effectExtent l="0" t="0" r="9525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收回款期初值（图10）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借冒名设置：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修改借款的借冒名状态。</w:t>
      </w:r>
    </w:p>
    <w:p>
      <w:pPr>
        <w:numPr>
          <w:ilvl w:val="1"/>
          <w:numId w:val="1"/>
        </w:numPr>
        <w:ind w:left="567" w:leftChars="0" w:hanging="567" w:firstLineChars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未完全回款台账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还款登记：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记录单笔借款合同的还款情况，包含收回时间、收回人、收回本金、利率、起息日、挂息金额、收回方式信息。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34590"/>
            <wp:effectExtent l="0" t="0" r="13970" b="3810"/>
            <wp:docPr id="19" name="图片 17" descr="C:\Users\123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C:\Users\123\Desktop\图片1.png图片1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收回款期初值（图10）</w:t>
      </w:r>
    </w:p>
    <w:p>
      <w:pPr>
        <w:jc w:val="center"/>
      </w:pPr>
      <w:r>
        <w:drawing>
          <wp:inline distT="0" distB="0" distL="114300" distR="114300">
            <wp:extent cx="5270500" cy="1271905"/>
            <wp:effectExtent l="0" t="0" r="6350" b="44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收回款历史记录（图11）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结束：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结束此合同（正常完全还款后，状态的改变）。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终止：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终止此合同（未完全回款，不需要登记回款信息，另做处理，状态的改变）。</w:t>
      </w:r>
    </w:p>
    <w:p>
      <w:pPr>
        <w:numPr>
          <w:ilvl w:val="1"/>
          <w:numId w:val="1"/>
        </w:numPr>
        <w:ind w:left="567" w:leftChars="0" w:hanging="567" w:firstLineChars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借款合同综合查询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合同中登记的借款人、担保人都能在此功能中查询到，并能导出pdf文件。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1775"/>
            <wp:effectExtent l="0" t="0" r="4445" b="9525"/>
            <wp:docPr id="22" name="图片 22" descr="截图2019052915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201905291534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综合查询（图12）</w:t>
      </w:r>
    </w:p>
    <w:p>
      <w:pPr>
        <w:numPr>
          <w:ilvl w:val="1"/>
          <w:numId w:val="1"/>
        </w:numPr>
        <w:ind w:left="567" w:leftChars="0" w:hanging="567" w:firstLineChars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错误借款合同修正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系统初始化后，因为借款人身份信息、担保人信息缺失，贷款发放日为空，需要补录。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首页统计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统计可视化功能。</w:t>
      </w:r>
    </w:p>
    <w:p>
      <w:pPr>
        <w:numPr>
          <w:ilvl w:val="0"/>
          <w:numId w:val="0"/>
        </w:numPr>
        <w:ind w:left="8" w:leftChars="0" w:firstLine="359" w:firstLineChars="171"/>
      </w:pPr>
      <w:r>
        <w:drawing>
          <wp:inline distT="0" distB="0" distL="114300" distR="114300">
            <wp:extent cx="5269865" cy="2293620"/>
            <wp:effectExtent l="0" t="0" r="6985" b="1143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按照支行统计贷款和回款额度对比情况（图13）</w:t>
      </w:r>
    </w:p>
    <w:p>
      <w:pPr>
        <w:numPr>
          <w:ilvl w:val="0"/>
          <w:numId w:val="0"/>
        </w:numPr>
        <w:ind w:left="8" w:leftChars="0" w:firstLine="359" w:firstLineChars="171"/>
      </w:pPr>
      <w:r>
        <w:drawing>
          <wp:inline distT="0" distB="0" distL="114300" distR="114300">
            <wp:extent cx="5268595" cy="5483860"/>
            <wp:effectExtent l="0" t="0" r="8255" b="254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按照支行统计借款人数量占比情况（图14）</w:t>
      </w:r>
    </w:p>
    <w:p>
      <w:pPr>
        <w:numPr>
          <w:ilvl w:val="0"/>
          <w:numId w:val="0"/>
        </w:numPr>
        <w:ind w:left="8" w:leftChars="0" w:firstLine="359" w:firstLineChars="171"/>
      </w:pPr>
      <w:r>
        <w:drawing>
          <wp:inline distT="0" distB="0" distL="114300" distR="114300">
            <wp:extent cx="5268595" cy="2397125"/>
            <wp:effectExtent l="0" t="0" r="8255" b="317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按照支行统计未完善的借款合同对比情况（图14）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其它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系统登录后风格切换为H+平面风格，刷新浏览器生效。</w:t>
      </w:r>
    </w:p>
    <w:p>
      <w:pPr>
        <w:numPr>
          <w:ilvl w:val="0"/>
          <w:numId w:val="0"/>
        </w:numPr>
        <w:ind w:left="8" w:leftChars="0" w:firstLine="359" w:firstLineChars="171"/>
        <w:jc w:val="both"/>
      </w:pPr>
      <w:r>
        <w:drawing>
          <wp:inline distT="0" distB="0" distL="114300" distR="114300">
            <wp:extent cx="5264150" cy="2691130"/>
            <wp:effectExtent l="0" t="0" r="12700" b="1397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切换风格（图15）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 xml:space="preserve">第 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>1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 xml:space="preserve"> 页 共 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>4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 xml:space="preserve">第 </w:t>
                    </w:r>
                    <w:r>
                      <w:rPr>
                        <w:rFonts w:hint="default"/>
                        <w:lang w:val="en-US"/>
                      </w:rPr>
                      <w:fldChar w:fldCharType="begin"/>
                    </w:r>
                    <w:r>
                      <w:rPr>
                        <w:rFonts w:hint="default"/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lang w:val="en-US"/>
                      </w:rPr>
                      <w:fldChar w:fldCharType="separate"/>
                    </w:r>
                    <w:r>
                      <w:rPr>
                        <w:rFonts w:hint="default"/>
                        <w:lang w:val="en-US"/>
                      </w:rPr>
                      <w:t>1</w:t>
                    </w:r>
                    <w:r>
                      <w:rPr>
                        <w:rFonts w:hint="default"/>
                        <w:lang w:val="en-US"/>
                      </w:rPr>
                      <w:fldChar w:fldCharType="end"/>
                    </w:r>
                    <w:r>
                      <w:rPr>
                        <w:rFonts w:hint="default"/>
                        <w:lang w:val="en-US"/>
                      </w:rPr>
                      <w:t xml:space="preserve"> 页 共 </w:t>
                    </w:r>
                    <w:r>
                      <w:rPr>
                        <w:rFonts w:hint="default"/>
                        <w:lang w:val="en-US"/>
                      </w:rPr>
                      <w:fldChar w:fldCharType="begin"/>
                    </w:r>
                    <w:r>
                      <w:rPr>
                        <w:rFonts w:hint="default"/>
                        <w:lang w:val="en-US"/>
                      </w:rPr>
                      <w:instrText xml:space="preserve"> NUMPAGES  \* MERGEFORMAT </w:instrText>
                    </w:r>
                    <w:r>
                      <w:rPr>
                        <w:rFonts w:hint="default"/>
                        <w:lang w:val="en-US"/>
                      </w:rPr>
                      <w:fldChar w:fldCharType="separate"/>
                    </w:r>
                    <w:r>
                      <w:rPr>
                        <w:rFonts w:hint="default"/>
                        <w:lang w:val="en-US"/>
                      </w:rPr>
                      <w:t>4</w:t>
                    </w:r>
                    <w:r>
                      <w:rPr>
                        <w:rFonts w:hint="default"/>
                        <w:lang w:val="en-US"/>
                      </w:rPr>
                      <w:fldChar w:fldCharType="end"/>
                    </w:r>
                    <w:r>
                      <w:rPr>
                        <w:rFonts w:hint="default"/>
                        <w:lang w:val="en-US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308418"/>
    <w:multiLevelType w:val="singleLevel"/>
    <w:tmpl w:val="973084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BB783D9"/>
    <w:multiLevelType w:val="multilevel"/>
    <w:tmpl w:val="9BB783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F2FC1F7B"/>
    <w:multiLevelType w:val="singleLevel"/>
    <w:tmpl w:val="F2FC1F7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F952C03"/>
    <w:multiLevelType w:val="singleLevel"/>
    <w:tmpl w:val="2F952C0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79E0EDC3"/>
    <w:multiLevelType w:val="singleLevel"/>
    <w:tmpl w:val="79E0ED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D721AB"/>
    <w:rsid w:val="01CF4227"/>
    <w:rsid w:val="0B33580D"/>
    <w:rsid w:val="11FB0E48"/>
    <w:rsid w:val="15522A7D"/>
    <w:rsid w:val="1BDE14FC"/>
    <w:rsid w:val="27D95C54"/>
    <w:rsid w:val="47F644AC"/>
    <w:rsid w:val="4EEA0C34"/>
    <w:rsid w:val="5F120A3D"/>
    <w:rsid w:val="60B75205"/>
    <w:rsid w:val="6AF07669"/>
    <w:rsid w:val="6DD721AB"/>
    <w:rsid w:val="72C1771D"/>
    <w:rsid w:val="748E13A5"/>
    <w:rsid w:val="757C0F65"/>
    <w:rsid w:val="76257F37"/>
    <w:rsid w:val="7B921A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2019-05-29T00:53:00Z</dcterms:created>
  <dc:creator>报废的旧轮胎</dc:creator>
  <cp:lastModifiedBy>报废的旧轮胎</cp:lastModifiedBy>
  <dcterms:modified xsi:type="dcterms:W3CDTF">2019-05-29T07:55:45Z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