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0"/>
          <w:szCs w:val="20"/>
        </w:rPr>
        <w:drawing>
          <wp:inline distB="0" distT="0" distL="0" distR="0">
            <wp:extent cx="2724150" cy="666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Sigla asignatura: 004D</w:t>
        <w:br w:type="textWrapping"/>
        <w:t xml:space="preserve">Nombre de la asignatura: CAPSTONE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RETROSPECTIVA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Proyecto: INDUCTA CHILE</w:t>
        <w:br w:type="textWrapping"/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Profesor: Marco Valenzuela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Integrantes: Mateo Martinez • Hans Elfert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2063810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74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Retrospectiva del proyecto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Qué quedó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Qué funcionó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Qué mejorar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Qué sigue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Retrospectiva del proyecto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Fecha: 1 de octubre de 2026, al publicar el release 1.0 Caso completo. Participan Mateo Martínez y Hans Christian Elfert Villena.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Esta retrospectiva cierra Ordenar, Trazar y Evidenciar, que son el release 1.0. Del pilar Monetizar, el catálogo y el pago ya salieron. Habilitar la empresa, el tablero y el tope son el Sprint 4, del 2 al 15 de octubre. El review y la retrospectiva de ese sprint se escriben el 15 de octubre y no forman parte de este cierre.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Qué quedó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 seis semanas el caso de inducción está en Listo: acceso por rol, cobro en UF, programas por cargo, cuestionario con nota e intentos, avance con fecha y evidencia descargable. 74 de 92 puntos están cerrados. Los 18 restantes son HU-07, HU-15 y HU-16.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 trabajo se partió desde el Sprint 1. Mateo tomó acceso, cobro, cuestionario, estado del colaborador y la descarga. Hans tomó programas, alta, rendir, la consulta del administrador y la misma evidencia vista desde la empresa.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Qué funcionó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objetivo de cada sprint cabía en dos semanas y el review mostró esas historias, no un alcance distinto.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nota quedó definida como porcentaje de aciertos, sin preguntas abiertas.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evidencia quedó unida a la persona, la etapa y la fecha, que es lo que pide la épica E5.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Qué mejorar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Sprint 1 la tabla empresa tenía seguridad por fila sin políticas, y el pago mezclaba dos versiones. Las dos cosas se cerraron en ese mismo sprint (IC-25 e IC-24). La guía de la app pedía Docker y el arranque es Podman (IC-26).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HU-12 depende de HU-10 y HU-11. Si el alta o el cuestionario se atrasan, el colaborador no puede rendir.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 no acepta tickets nuevos en un sprint cerrado. Por eso las actas de los sprints 1 y 2 viven en el Sprint 3, con el nombre del sprint original.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Qué sigue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Del 2 al 15 de octubre: habilitar la empresa al pagar (Mateo, HU-07), el tablero según el plan (Hans, HU-15) y el tope (Hans, HU-16).</w:t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+0t1xQZhdMri+gyh0HDEKa3kjg==">CgMxLjA4AHIhMUFGSnp1VEE4TEgtMVNDQ25uTWlZMGg2MkN3RkRvWFot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