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                                   </w:t>
      </w:r>
    </w:p>
    <w:p w:rsidR="00000000" w:rsidDel="00000000" w:rsidP="00000000" w:rsidRDefault="00000000" w:rsidRPr="00000000" w14:paraId="00000002">
      <w:pPr>
        <w:pStyle w:val="Heading1"/>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r>
    </w:p>
    <w:p w:rsidR="00000000" w:rsidDel="00000000" w:rsidP="00000000" w:rsidRDefault="00000000" w:rsidRPr="00000000" w14:paraId="00000005">
      <w:pPr>
        <w:pStyle w:val="Heading1"/>
        <w:jc w:val="center"/>
        <w:rPr>
          <w:rFonts w:ascii="Times New Roman" w:cs="Times New Roman" w:eastAsia="Times New Roman" w:hAnsi="Times New Roman"/>
          <w:b w:val="0"/>
          <w:bCs w:val="0"/>
          <w:color w:val="000000"/>
          <w:sz w:val="24"/>
          <w:szCs w:val="24"/>
        </w:rPr>
      </w:pPr>
      <w:r w:rsidDel="00000000" w:rsidR="00000000" w:rsidRPr="00000000">
        <w:rPr>
          <w:rtl w:val="0"/>
        </w:rPr>
        <w:t xml:space="preserve">       </w:t>
      </w:r>
      <w:r w:rsidDel="00000000" w:rsidR="00000000" w:rsidRPr="00000000">
        <w:rPr>
          <w:rFonts w:ascii="Cambria" w:cs="Cambria" w:eastAsia="Cambria" w:hAnsi="Cambria"/>
          <w:b w:val="0"/>
          <w:bCs w:val="0"/>
          <w:i w:val="1"/>
          <w:iCs w:val="1"/>
          <w:color w:val="000000"/>
          <w:sz w:val="20"/>
          <w:szCs w:val="20"/>
        </w:rPr>
        <w:drawing>
          <wp:inline distB="0" distT="0" distL="0" distR="0">
            <wp:extent cx="2724150" cy="6667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241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sz w:val="18"/>
          <w:szCs w:val="18"/>
          <w:rtl w:val="0"/>
        </w:rPr>
        <w:t xml:space="preserve">Sigla asignatura: 004D</w:t>
        <w:br w:type="textWrapping"/>
        <w:t xml:space="preserve">Nombre de la asignatura: CAPSTONE</w:t>
      </w:r>
      <w:r w:rsidDel="00000000" w:rsidR="00000000" w:rsidRPr="00000000">
        <w:rPr>
          <w:rFonts w:ascii="Cambria" w:cs="Cambria" w:eastAsia="Cambria" w:hAnsi="Cambria"/>
          <w:b w:val="1"/>
          <w:bCs w:val="1"/>
          <w:sz w:val="28"/>
          <w:szCs w:val="28"/>
          <w:rtl w:val="0"/>
        </w:rPr>
        <w:br w:type="textWrapping"/>
      </w: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sz w:val="52"/>
          <w:szCs w:val="52"/>
          <w:rtl w:val="0"/>
        </w:rPr>
        <w:t xml:space="preserve">MAPA MENTAL</w:t>
      </w:r>
      <w:r w:rsidDel="00000000" w:rsidR="00000000" w:rsidRPr="00000000">
        <w:rPr>
          <w:rtl w:val="0"/>
        </w:rPr>
      </w:r>
    </w:p>
    <w:p w:rsidR="00000000" w:rsidDel="00000000" w:rsidP="00000000" w:rsidRDefault="00000000" w:rsidRPr="00000000" w14:paraId="00000009">
      <w:pPr>
        <w:spacing w:line="240" w:lineRule="auto"/>
        <w:jc w:val="center"/>
        <w:rPr>
          <w:rFonts w:ascii="Arial" w:cs="Arial" w:eastAsia="Arial" w:hAnsi="Arial"/>
          <w:color w:val="666666"/>
        </w:rPr>
      </w:pPr>
      <w:r w:rsidDel="00000000" w:rsidR="00000000" w:rsidRPr="00000000">
        <w:rPr>
          <w:rFonts w:ascii="Arial" w:cs="Arial" w:eastAsia="Arial" w:hAnsi="Arial"/>
          <w:color w:val="666666"/>
          <w:rtl w:val="0"/>
        </w:rPr>
        <w:t xml:space="preserve">Proyecto: INDUCTA CHILE</w:t>
        <w:br w:type="textWrapping"/>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666666"/>
          <w:rtl w:val="0"/>
        </w:rPr>
        <w:br w:type="textWrapping"/>
      </w:r>
      <w:r w:rsidDel="00000000" w:rsidR="00000000" w:rsidRPr="00000000">
        <w:rPr>
          <w:rFonts w:ascii="Arial" w:cs="Arial" w:eastAsia="Arial" w:hAnsi="Arial"/>
          <w:rtl w:val="0"/>
        </w:rPr>
        <w:t xml:space="preserve">Profesor: Marco Valenzuela C.</w:t>
      </w:r>
      <w:r w:rsidDel="00000000" w:rsidR="00000000" w:rsidRPr="00000000">
        <w:rPr>
          <w:rtl w:val="0"/>
        </w:rPr>
      </w:r>
    </w:p>
    <w:p w:rsidR="00000000" w:rsidDel="00000000" w:rsidP="00000000" w:rsidRDefault="00000000" w:rsidRPr="00000000" w14:paraId="0000000B">
      <w:pPr>
        <w:spacing w:line="240" w:lineRule="auto"/>
        <w:jc w:val="center"/>
        <w:rPr>
          <w:rFonts w:ascii="Arial" w:cs="Arial" w:eastAsia="Arial" w:hAnsi="Arial"/>
        </w:rPr>
      </w:pPr>
      <w:r w:rsidDel="00000000" w:rsidR="00000000" w:rsidRPr="00000000">
        <w:rPr>
          <w:rFonts w:ascii="Arial" w:cs="Arial" w:eastAsia="Arial" w:hAnsi="Arial"/>
          <w:rtl w:val="0"/>
        </w:rPr>
        <w:t xml:space="preserve">Integrantes: Mateo Martinez • Hans Elfert</w:t>
      </w:r>
    </w:p>
    <w:p w:rsidR="00000000" w:rsidDel="00000000" w:rsidP="00000000" w:rsidRDefault="00000000" w:rsidRPr="00000000" w14:paraId="0000000C">
      <w:pPr>
        <w:pStyle w:val="Heading1"/>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br w:type="page"/>
      </w:r>
      <w:r w:rsidDel="00000000" w:rsidR="00000000" w:rsidRPr="00000000">
        <w:rPr>
          <w:rtl w:val="0"/>
        </w:rPr>
      </w:r>
    </w:p>
    <w:sdt>
      <w:sdtPr>
        <w:id w:val="-152534905"/>
        <w:docPartObj>
          <w:docPartGallery w:val="Table of Contents"/>
          <w:docPartUnique w:val="1"/>
        </w:docPartObj>
      </w:sdtPr>
      <w:sdtContent>
        <w:p w:rsidR="00000000" w:rsidDel="00000000" w:rsidP="00000000" w:rsidRDefault="00000000" w:rsidRPr="00000000" w14:paraId="0000000E">
          <w:pPr>
            <w:widowControl w:val="0"/>
            <w:tabs>
              <w:tab w:val="right" w:leader="dot" w:pos="9746"/>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Mapa mental</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746"/>
            </w:tabs>
            <w:spacing w:after="0" w:before="60" w:line="240" w:lineRule="auto"/>
            <w:ind w:left="360" w:firstLine="0"/>
            <w:rPr>
              <w:color w:val="000000"/>
              <w:u w:val="none"/>
            </w:rPr>
          </w:pPr>
          <w:hyperlink w:anchor="_heading=">
            <w:r w:rsidDel="00000000" w:rsidR="00000000" w:rsidRPr="00000000">
              <w:rPr>
                <w:color w:val="000000"/>
                <w:u w:val="none"/>
                <w:rtl w:val="0"/>
              </w:rPr>
              <w:t xml:space="preserve">Lectura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Mapa mental</w:t>
      </w:r>
    </w:p>
    <w:p w:rsidR="00000000" w:rsidDel="00000000" w:rsidP="00000000" w:rsidRDefault="00000000" w:rsidRPr="00000000" w14:paraId="00000012">
      <w:pPr>
        <w:jc w:val="center"/>
        <w:rPr/>
      </w:pPr>
      <w:r w:rsidDel="00000000" w:rsidR="00000000" w:rsidRPr="00000000">
        <w:rPr/>
        <w:drawing>
          <wp:inline distB="0" distT="0" distL="114300" distR="114300">
            <wp:extent cx="5760000" cy="3520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000" cy="3520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pPr>
      <w:r w:rsidDel="00000000" w:rsidR="00000000" w:rsidRPr="00000000">
        <w:rPr>
          <w:i w:val="1"/>
          <w:iCs w:val="1"/>
          <w:sz w:val="20"/>
          <w:szCs w:val="20"/>
          <w:rtl w:val="0"/>
        </w:rPr>
        <w:t xml:space="preserve">Mapa mental del caso. En ámbar, lo que sigue abierto en el release 1.1.</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El centro es el caso: dejar constancia de la inducción de una empresa chilena. Las ramas son los cuatro resultados y lo que cuelga de cada uno.</w:t>
      </w:r>
    </w:p>
    <w:tbl>
      <w:tblPr>
        <w:tblStyle w:val="Table1"/>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p w:rsidR="00000000" w:rsidDel="00000000" w:rsidP="00000000" w:rsidRDefault="00000000" w:rsidRPr="00000000" w14:paraId="00000015">
            <w:pPr>
              <w:rPr/>
            </w:pPr>
            <w:r w:rsidDel="00000000" w:rsidR="00000000" w:rsidRPr="00000000">
              <w:rPr>
                <w:rtl w:val="0"/>
              </w:rPr>
              <w:t xml:space="preserve">Centro</w:t>
            </w:r>
          </w:p>
        </w:tc>
        <w:tc>
          <w:tcPr/>
          <w:p w:rsidR="00000000" w:rsidDel="00000000" w:rsidP="00000000" w:rsidRDefault="00000000" w:rsidRPr="00000000" w14:paraId="00000016">
            <w:pPr>
              <w:rPr/>
            </w:pPr>
            <w:r w:rsidDel="00000000" w:rsidR="00000000" w:rsidRPr="00000000">
              <w:rPr>
                <w:rtl w:val="0"/>
              </w:rPr>
              <w:t xml:space="preserve">Rama</w:t>
            </w:r>
          </w:p>
        </w:tc>
        <w:tc>
          <w:tcPr/>
          <w:p w:rsidR="00000000" w:rsidDel="00000000" w:rsidP="00000000" w:rsidRDefault="00000000" w:rsidRPr="00000000" w14:paraId="00000017">
            <w:pPr>
              <w:rPr/>
            </w:pPr>
            <w:r w:rsidDel="00000000" w:rsidR="00000000" w:rsidRPr="00000000">
              <w:rPr>
                <w:rtl w:val="0"/>
              </w:rPr>
              <w:t xml:space="preserve">Qué cuelga</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Inducta Chile</w:t>
            </w:r>
          </w:p>
        </w:tc>
        <w:tc>
          <w:tcPr/>
          <w:p w:rsidR="00000000" w:rsidDel="00000000" w:rsidP="00000000" w:rsidRDefault="00000000" w:rsidRPr="00000000" w14:paraId="00000019">
            <w:pPr>
              <w:rPr/>
            </w:pPr>
            <w:r w:rsidDel="00000000" w:rsidR="00000000" w:rsidRPr="00000000">
              <w:rPr>
                <w:rtl w:val="0"/>
              </w:rPr>
              <w:t xml:space="preserve">Ordenar</w:t>
            </w:r>
          </w:p>
        </w:tc>
        <w:tc>
          <w:tcPr/>
          <w:p w:rsidR="00000000" w:rsidDel="00000000" w:rsidP="00000000" w:rsidRDefault="00000000" w:rsidRPr="00000000" w14:paraId="0000001A">
            <w:pPr>
              <w:rPr/>
            </w:pPr>
            <w:r w:rsidDel="00000000" w:rsidR="00000000" w:rsidRPr="00000000">
              <w:rPr>
                <w:rtl w:val="0"/>
              </w:rPr>
              <w:t xml:space="preserve">Acceso por rol. Sin registro público. Datos aislados por empresa. Programa por cargo. Alta del colaborador.</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Inducta Chile</w:t>
            </w:r>
          </w:p>
        </w:tc>
        <w:tc>
          <w:tcPr/>
          <w:p w:rsidR="00000000" w:rsidDel="00000000" w:rsidP="00000000" w:rsidRDefault="00000000" w:rsidRPr="00000000" w14:paraId="0000001C">
            <w:pPr>
              <w:rPr/>
            </w:pPr>
            <w:r w:rsidDel="00000000" w:rsidR="00000000" w:rsidRPr="00000000">
              <w:rPr>
                <w:rtl w:val="0"/>
              </w:rPr>
              <w:t xml:space="preserve">Trazar</w:t>
            </w:r>
          </w:p>
        </w:tc>
        <w:tc>
          <w:tcPr/>
          <w:p w:rsidR="00000000" w:rsidDel="00000000" w:rsidP="00000000" w:rsidRDefault="00000000" w:rsidRPr="00000000" w14:paraId="0000001D">
            <w:pPr>
              <w:rPr/>
            </w:pPr>
            <w:r w:rsidDel="00000000" w:rsidR="00000000" w:rsidRPr="00000000">
              <w:rPr>
                <w:rtl w:val="0"/>
              </w:rPr>
              <w:t xml:space="preserve">Cuestionario. Nota e intentos. Estado de la etapa. Fecha de aprobación.</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Inducta Chile</w:t>
            </w:r>
          </w:p>
        </w:tc>
        <w:tc>
          <w:tcPr/>
          <w:p w:rsidR="00000000" w:rsidDel="00000000" w:rsidP="00000000" w:rsidRDefault="00000000" w:rsidRPr="00000000" w14:paraId="0000001F">
            <w:pPr>
              <w:rPr/>
            </w:pPr>
            <w:r w:rsidDel="00000000" w:rsidR="00000000" w:rsidRPr="00000000">
              <w:rPr>
                <w:rtl w:val="0"/>
              </w:rPr>
              <w:t xml:space="preserve">Evidenciar</w:t>
            </w:r>
          </w:p>
        </w:tc>
        <w:tc>
          <w:tcPr/>
          <w:p w:rsidR="00000000" w:rsidDel="00000000" w:rsidP="00000000" w:rsidRDefault="00000000" w:rsidRPr="00000000" w14:paraId="00000020">
            <w:pPr>
              <w:rPr/>
            </w:pPr>
            <w:r w:rsidDel="00000000" w:rsidR="00000000" w:rsidRPr="00000000">
              <w:rPr>
                <w:rtl w:val="0"/>
              </w:rPr>
              <w:t xml:space="preserve">Descarga del colaborador. La misma evidencia para el administrador. Marca Inducta o identidad de la empresa.</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Inducta Chile</w:t>
            </w:r>
          </w:p>
        </w:tc>
        <w:tc>
          <w:tcPr/>
          <w:p w:rsidR="00000000" w:rsidDel="00000000" w:rsidP="00000000" w:rsidRDefault="00000000" w:rsidRPr="00000000" w14:paraId="00000022">
            <w:pPr>
              <w:rPr/>
            </w:pPr>
            <w:r w:rsidDel="00000000" w:rsidR="00000000" w:rsidRPr="00000000">
              <w:rPr>
                <w:rtl w:val="0"/>
              </w:rPr>
              <w:t xml:space="preserve">Monetizar</w:t>
            </w:r>
          </w:p>
        </w:tc>
        <w:tc>
          <w:tcPr/>
          <w:p w:rsidR="00000000" w:rsidDel="00000000" w:rsidP="00000000" w:rsidRDefault="00000000" w:rsidRPr="00000000" w14:paraId="00000023">
            <w:pPr>
              <w:rPr/>
            </w:pPr>
            <w:r w:rsidDel="00000000" w:rsidR="00000000" w:rsidRPr="00000000">
              <w:rPr>
                <w:rtl w:val="0"/>
              </w:rPr>
              <w:t xml:space="preserve">Planes en UF. Pago con Webpay. Empresa habilitada al pagar. Tablero según el plan. Tope del plan.</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Lectura</w:t>
      </w:r>
    </w:p>
    <w:p w:rsidR="00000000" w:rsidDel="00000000" w:rsidP="00000000" w:rsidRDefault="00000000" w:rsidRPr="00000000" w14:paraId="00000026">
      <w:pPr>
        <w:rPr/>
      </w:pPr>
      <w:r w:rsidDel="00000000" w:rsidR="00000000" w:rsidRPr="00000000">
        <w:rPr>
          <w:rtl w:val="0"/>
        </w:rPr>
        <w:t xml:space="preserve">Ordenar deja a la persona correcta dentro de su empresa y con el programa de su cargo. Trazar registra el resultado de la etapa. Evidenciar convierte la aprobación en un documento. Monetizar cobra el plan y limita el tablero y la cantidad según lo pagado.</w:t>
      </w:r>
    </w:p>
    <w:p w:rsidR="00000000" w:rsidDel="00000000" w:rsidP="00000000" w:rsidRDefault="00000000" w:rsidRPr="00000000" w14:paraId="00000027">
      <w:pPr>
        <w:rPr/>
      </w:pPr>
      <w:r w:rsidDel="00000000" w:rsidR="00000000" w:rsidRPr="00000000">
        <w:rPr>
          <w:rtl w:val="0"/>
        </w:rPr>
        <w:t xml:space="preserve">Planes en UF y la salida a Webpay ya están en el release 0.9. Habilitar la empresa, el tablero según el plan y el tope siguen abiertos hasta el 15 de octubre, en el release 1.1. La nota es el porcentaje de aciertos. Sin preguntas abiertas. La evidencia no existe si la etapa no está aprobada.</w:t>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DOKGZYiHjiswv2Aletyt1LPKeA==">CgMxLjA4AHIhMUI1RW1aT2R2ZlRRWkRHMDlUclNMUFU2aUt4aTRpN3Zj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