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Cambria" w:cs="Cambria" w:eastAsia="Cambria" w:hAnsi="Cambria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Cambria" w:cs="Cambria" w:eastAsia="Cambria" w:hAnsi="Cambria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rFonts w:ascii="Cambria" w:cs="Cambria" w:eastAsia="Cambria" w:hAnsi="Cambria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jc w:val="center"/>
        <w:rPr>
          <w:rFonts w:ascii="Cambria" w:cs="Cambria" w:eastAsia="Cambria" w:hAnsi="Cambria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jc w:val="center"/>
        <w:rPr>
          <w:rFonts w:ascii="Cambria" w:cs="Cambria" w:eastAsia="Cambria" w:hAnsi="Cambria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jc w:val="center"/>
        <w:rPr>
          <w:rFonts w:ascii="Cambria" w:cs="Cambria" w:eastAsia="Cambria" w:hAnsi="Cambria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jc w:val="center"/>
        <w:rPr>
          <w:rFonts w:ascii="Cambria" w:cs="Cambria" w:eastAsia="Cambria" w:hAnsi="Cambria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jc w:val="center"/>
        <w:rPr>
          <w:rFonts w:ascii="Cambria" w:cs="Cambria" w:eastAsia="Cambria" w:hAnsi="Cambria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jc w:val="center"/>
        <w:rPr>
          <w:rFonts w:ascii="Cambria" w:cs="Cambria" w:eastAsia="Cambria" w:hAnsi="Cambria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sz w:val="20"/>
          <w:szCs w:val="20"/>
        </w:rPr>
        <w:drawing>
          <wp:inline distB="0" distT="0" distL="0" distR="0">
            <wp:extent cx="2724150" cy="66675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24150" cy="666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0C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Sigla asignatura: 004D</w:t>
        <w:br w:type="textWrapping"/>
        <w:t xml:space="preserve">Nombre de la asignatura: CAPSTONE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8"/>
          <w:szCs w:val="28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52"/>
          <w:szCs w:val="52"/>
          <w:rtl w:val="0"/>
        </w:rPr>
        <w:t xml:space="preserve">IMPACT MAPPING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jc w:val="center"/>
        <w:rPr>
          <w:rFonts w:ascii="Arial" w:cs="Arial" w:eastAsia="Arial" w:hAnsi="Arial"/>
          <w:color w:val="666666"/>
        </w:rPr>
      </w:pPr>
      <w:r w:rsidDel="00000000" w:rsidR="00000000" w:rsidRPr="00000000">
        <w:rPr>
          <w:rFonts w:ascii="Arial" w:cs="Arial" w:eastAsia="Arial" w:hAnsi="Arial"/>
          <w:color w:val="666666"/>
          <w:rtl w:val="0"/>
        </w:rPr>
        <w:t xml:space="preserve">Proyecto: INDUCTA CHILE</w:t>
        <w:br w:type="textWrapping"/>
      </w:r>
    </w:p>
    <w:p w:rsidR="00000000" w:rsidDel="00000000" w:rsidP="00000000" w:rsidRDefault="00000000" w:rsidRPr="00000000" w14:paraId="0000000F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666666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Profesor: Marco Valenzuela 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Integrantes: Mateo Martinez • Hans Elfert</w:t>
      </w:r>
    </w:p>
    <w:p w:rsidR="00000000" w:rsidDel="00000000" w:rsidP="00000000" w:rsidRDefault="00000000" w:rsidRPr="00000000" w14:paraId="00000011">
      <w:pPr>
        <w:pStyle w:val="Heading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sdt>
      <w:sdtPr>
        <w:id w:val="24739624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2">
          <w:pPr>
            <w:widowControl w:val="0"/>
            <w:tabs>
              <w:tab w:val="right" w:leader="dot" w:pos="9746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Impact Mapping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dot" w:pos="9746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Visitante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dot" w:pos="9746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Administrador de la empresa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dot" w:pos="9746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Colaborador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dot" w:pos="9746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Lectura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7">
      <w:pPr>
        <w:pStyle w:val="Heading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rPr/>
      </w:pPr>
      <w:r w:rsidDel="00000000" w:rsidR="00000000" w:rsidRPr="00000000">
        <w:rPr>
          <w:rtl w:val="0"/>
        </w:rPr>
        <w:t xml:space="preserve">Impact Mapping</w:t>
      </w:r>
    </w:p>
    <w:p w:rsidR="00000000" w:rsidDel="00000000" w:rsidP="00000000" w:rsidRDefault="00000000" w:rsidRPr="00000000" w14:paraId="00000019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760000" cy="31360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13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/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Impactos por actor. En ámbar, las historias del Sprint 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Objetivo: que una empresa chilena deje constancia de la inducción de su personal y pueda contratar el servicio.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Los actores y los impactos salen de las historias HU-01 a HU-18.</w:t>
      </w:r>
    </w:p>
    <w:p w:rsidR="00000000" w:rsidDel="00000000" w:rsidP="00000000" w:rsidRDefault="00000000" w:rsidRPr="00000000" w14:paraId="0000001D">
      <w:pPr>
        <w:pStyle w:val="Heading2"/>
        <w:rPr/>
      </w:pPr>
      <w:r w:rsidDel="00000000" w:rsidR="00000000" w:rsidRPr="00000000">
        <w:rPr>
          <w:rtl w:val="0"/>
        </w:rPr>
        <w:t xml:space="preserve">Visitante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Quiere entrar al panel que le corresponde y, si va a contratar, ver precios en UF y pagar en Webpay.</w:t>
      </w:r>
    </w:p>
    <w:tbl>
      <w:tblPr>
        <w:tblStyle w:val="Table1"/>
        <w:tblW w:w="974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73"/>
        <w:gridCol w:w="4873"/>
        <w:tblGridChange w:id="0">
          <w:tblGrid>
            <w:gridCol w:w="4873"/>
            <w:gridCol w:w="487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Impacto</w:t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Entregable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Llega al panel de su rol</w:t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HU-01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No crea una cuenta por su cuenta</w:t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HU-02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Compara los cuatro planes en UF</w:t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HU-05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Paga con datos tributarios chilenos</w:t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HU-06</w:t>
            </w:r>
          </w:p>
        </w:tc>
      </w:tr>
    </w:tbl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rPr/>
      </w:pPr>
      <w:r w:rsidDel="00000000" w:rsidR="00000000" w:rsidRPr="00000000">
        <w:rPr>
          <w:rtl w:val="0"/>
        </w:rPr>
        <w:t xml:space="preserve">Administrador de la empresa</w:t>
      </w:r>
    </w:p>
    <w:tbl>
      <w:tblPr>
        <w:tblStyle w:val="Table2"/>
        <w:tblW w:w="974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73"/>
        <w:gridCol w:w="4873"/>
        <w:tblGridChange w:id="0">
          <w:tblGrid>
            <w:gridCol w:w="4873"/>
            <w:gridCol w:w="487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Impacto</w:t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Entregable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Otra empresa no lee sus datos</w:t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HU-04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Arma el programa por cargo, área o normativa</w:t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HU-08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Da de alta al colaborador sin registro público</w:t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HU-09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Define el cuestionario, la nota y los intentos</w:t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HU-11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Ve persona, etapa, estado y fecha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HU-14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Abre la misma evidencia que descarga el colaborador</w:t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HU-18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Queda habilitado al confirmar el pago</w:t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HU-07, Sprint 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Ve el corte de avance de su plan</w:t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HU-15, Sprint 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No pasa el tope del plan</w:t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HU-16, Sprint 4</w:t>
            </w:r>
          </w:p>
        </w:tc>
      </w:tr>
    </w:tbl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rPr/>
      </w:pPr>
      <w:r w:rsidDel="00000000" w:rsidR="00000000" w:rsidRPr="00000000">
        <w:rPr>
          <w:rtl w:val="0"/>
        </w:rPr>
        <w:t xml:space="preserve">Colaborador</w:t>
      </w:r>
    </w:p>
    <w:tbl>
      <w:tblPr>
        <w:tblStyle w:val="Table3"/>
        <w:tblW w:w="974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73"/>
        <w:gridCol w:w="4873"/>
        <w:tblGridChange w:id="0">
          <w:tblGrid>
            <w:gridCol w:w="4873"/>
            <w:gridCol w:w="487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Impacto</w:t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Entregable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El panel lo rechaza si no tiene empresa</w:t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HU-03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Ve solo los programas de su cargo</w:t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HU-10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Rinde y la etapa cambia de estado</w:t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HU-12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Ve el estado de sus etapas y, si aprobó, la fecha</w:t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HU-13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Descarga la evidencia al aprobar</w:t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HU-17</w:t>
            </w:r>
          </w:p>
        </w:tc>
      </w:tr>
    </w:tbl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rPr/>
      </w:pPr>
      <w:r w:rsidDel="00000000" w:rsidR="00000000" w:rsidRPr="00000000">
        <w:rPr>
          <w:rtl w:val="0"/>
        </w:rPr>
        <w:t xml:space="preserve">Lectura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Ordenar (E1, E3) habilita trazar (E3, E4). Trazar habilita evidenciar (E5). Monetizar (E2, E4) espera a que el caso de inducción exista: HU-07 depende de HU-06 y entra después de programa, avance y evidencia.</w:t>
      </w:r>
    </w:p>
    <w:sectPr>
      <w:pgSz w:h="15840" w:w="12240" w:orient="portrait"/>
      <w:pgMar w:bottom="1134" w:top="1134" w:left="1247" w:right="124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Times New Roman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9i7XuhmnhCPeXgpfXA33QmSTHbg==">CgMxLjA4AHIhMTNnblRKb3plaXhka1o5d3k0LVU4dHF4UU9vX3I0aGpo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