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4.png" ContentType="image/png"/>
  <Override PartName="/word/media/rId3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 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Griffith et al. (2024)</w:t>
      </w:r>
      <w:r>
        <w:t xml:space="preserve"> </w:t>
      </w:r>
      <w:r>
        <w:t xml:space="preserve">for large-scale SDM</w:t>
      </w:r>
    </w:p>
    <w:bookmarkEnd w:id="20"/>
    <w:bookmarkStart w:id="28" w:name="application-description"/>
    <w:p>
      <w:pPr>
        <w:pStyle w:val="Heading1"/>
      </w:pPr>
      <w:r>
        <w:t xml:space="preserve">Application description</w:t>
      </w:r>
    </w:p>
    <w:p>
      <w:pPr>
        <w:pStyle w:val="FirstParagraph"/>
      </w:pPr>
      <w:r>
        <w:t xml:space="preserve">…</w:t>
      </w:r>
    </w:p>
    <w:bookmarkStart w:id="25"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At</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with:</w:t>
      </w:r>
    </w:p>
    <w:p>
      <w:pPr>
        <w:pStyle w:val="SourceCode"/>
      </w:pPr>
      <w:r>
        <w:rPr>
          <w:rStyle w:val="ImportTok"/>
        </w:rPr>
        <w:t xml:space="preserve">import</w:t>
      </w:r>
      <w:r>
        <w:rPr>
          <w:rStyle w:val="NormalTok"/>
        </w:rPr>
        <w:t xml:space="preserve"> </w:t>
      </w:r>
      <w:r>
        <w:rPr>
          <w:rStyle w:val="BuiltInTok"/>
        </w:rPr>
        <w:t xml:space="preserve">Pkg;</w:t>
      </w:r>
      <w:r>
        <w:rPr>
          <w:rStyle w:val="NormalTok"/>
        </w:rPr>
        <w:t xml:space="preserve"> Pkg.add("SpeciesDistributionToolkit")</w:t>
      </w:r>
    </w:p>
    <w:p>
      <w:pPr>
        <w:pStyle w:val="FirstParagraph"/>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4" w:name="fig-components"/>
          <w:p>
            <w:pPr>
              <w:pStyle w:val="Compact"/>
              <w:jc w:val="center"/>
            </w:pPr>
            <w:r>
              <w:drawing>
                <wp:inline>
                  <wp:extent cx="5334000" cy="2749242"/>
                  <wp:effectExtent b="0" l="0" r="0" t="0"/>
                  <wp:docPr descr="" title="" id="22" name="Picture"/>
                  <a:graphic>
                    <a:graphicData uri="http://schemas.openxmlformats.org/drawingml/2006/picture">
                      <pic:pic>
                        <pic:nvPicPr>
                          <pic:cNvPr descr="figures/SDT.png" id="23" name="Picture"/>
                          <pic:cNvPicPr>
                            <a:picLocks noChangeArrowheads="1" noChangeAspect="1"/>
                          </pic:cNvPicPr>
                        </pic:nvPicPr>
                        <pic:blipFill>
                          <a:blip r:embed="rId21"/>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w:t>
            </w:r>
          </w:p>
          <w:bookmarkEnd w:id="24"/>
        </w:tc>
      </w:tr>
    </w:tbl>
    <w:p>
      <w:pPr>
        <w:pStyle w:val="BodyText"/>
      </w:pPr>
      <w:r>
        <w:rPr>
          <w:b/>
          <w:bCs/>
        </w:rPr>
        <w:t xml:space="preserve">GBIF</w:t>
      </w:r>
    </w:p>
    <w:p>
      <w:pPr>
        <w:pStyle w:val="BodyText"/>
      </w:pPr>
      <w:r>
        <w:rPr>
          <w:b/>
          <w:bCs/>
        </w:rPr>
        <w:t xml:space="preserve">SimpleSDMDatasets</w:t>
      </w:r>
    </w:p>
    <w:p>
      <w:pPr>
        <w:pStyle w:val="BodyText"/>
      </w:pPr>
      <w:r>
        <w:rPr>
          <w:b/>
          <w:bCs/>
        </w:rPr>
        <w:t xml:space="preserve">Phylopic</w:t>
      </w:r>
    </w:p>
    <w:p>
      <w:pPr>
        <w:pStyle w:val="BodyText"/>
      </w:pPr>
      <w:r>
        <w:rPr>
          <w:b/>
          <w:bCs/>
        </w:rPr>
        <w:t xml:space="preserve">OccurrencesInterface</w:t>
      </w:r>
    </w:p>
    <w:p>
      <w:pPr>
        <w:pStyle w:val="BodyText"/>
      </w:pPr>
      <w:r>
        <w:rPr>
          <w:b/>
          <w:bCs/>
        </w:rPr>
        <w:t xml:space="preserve">SimpleSDMLayers</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w:t>
      </w:r>
    </w:p>
    <w:p>
      <w:pPr>
        <w:pStyle w:val="BodyText"/>
      </w:pPr>
      <w:r>
        <w:rPr>
          <w:b/>
          <w:bCs/>
        </w:rPr>
        <w:t xml:space="preserve">SDeMo</w:t>
      </w:r>
    </w:p>
    <w:bookmarkEnd w:id="25"/>
    <w:bookmarkStart w:id="26"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6"/>
    <w:bookmarkStart w:id="27"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 Julia universe. Notably, this includes</w:t>
      </w:r>
      <w:r>
        <w:t xml:space="preserve"> </w:t>
      </w:r>
      <w:r>
        <w:rPr>
          <w:b/>
          <w:bCs/>
        </w:rPr>
        <w:t xml:space="preserve">Makie</w:t>
      </w:r>
      <w:r>
        <w:t xml:space="preserve"> </w:t>
      </w:r>
      <w:r>
        <w:t xml:space="preserve">(and all related backends) for plotting and data visualisation, where usual plot types are overloaded for layer and occurrence data. Most data 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Interfaces internal to Julia are also implemented whenever they make sense. Layers behave like arrays, are iterable, and broadcastable; occurrences collections are arrays and iterables. Beyong supporting external interfaces,</w:t>
      </w:r>
      <w:r>
        <w:t xml:space="preserve"> </w:t>
      </w:r>
      <w:r>
        <w:rPr>
          <w:b/>
          <w:bCs/>
        </w:rPr>
        <w:t xml:space="preserve">SDT</w:t>
      </w:r>
      <w:r>
        <w:t xml:space="preserve"> </w:t>
      </w:r>
      <w:r>
        <w:t xml:space="preserve">defines its own internally. Access to raster data is supported by a trait-based interface for</w:t>
      </w:r>
      <w:r>
        <w:t xml:space="preserve"> </w:t>
      </w:r>
      <w:r>
        <w:rPr>
          <w:b/>
          <w:bCs/>
        </w:rPr>
        <w:t xml:space="preserve">SimpleSDMDatasets</w:t>
      </w:r>
      <w:r>
        <w:t xml:space="preserve">, and one of the component packages (</w:t>
      </w:r>
      <w:r>
        <w:rPr>
          <w:b/>
          <w:bCs/>
        </w:rPr>
        <w:t xml:space="preserve">OccurrencesInterface</w:t>
      </w:r>
      <w:r>
        <w:t xml:space="preserve"> </w:t>
      </w:r>
      <w:r>
        <w:t xml:space="preserve">implements a minimalist interface to facilite the consumption of occurrence data.</w:t>
      </w:r>
    </w:p>
    <w:p>
      <w:pPr>
        <w:pStyle w:val="BodyText"/>
      </w:pPr>
      <w:r>
        <w:t xml:space="preserve">Internal use of other interfaces like StatsAPI</w:t>
      </w:r>
    </w:p>
    <w:bookmarkEnd w:id="27"/>
    <w:bookmarkEnd w:id="28"/>
    <w:bookmarkStart w:id="49"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and a host or orthohantaviruses</w:t>
      </w:r>
      <w:r>
        <w:t xml:space="preserve"> </w:t>
      </w:r>
      <w:r>
        <w:t xml:space="preserve">(Burgos et al. 2021; Owen et al. 2010)</w:t>
      </w:r>
      <w:r>
        <w:t xml:space="preserve">, in Paraguay. As the notebooks accompanying this article cover the full code required to run these examples, we do not present code snippets in the main text, and instead focus on explaining which component packages are used in each example.</w:t>
      </w:r>
    </w:p>
    <w:bookmarkStart w:id="33" w:name="landcover-consensus-map"/>
    <w:p>
      <w:pPr>
        <w:pStyle w:val="Heading2"/>
      </w:pPr>
      <w:r>
        <w:t xml:space="preserve">Landcover consensus map</w:t>
      </w:r>
    </w:p>
    <w:p>
      <w:pPr>
        <w:pStyle w:val="FirstParagraph"/>
      </w:pPr>
      <w:r>
        <w:t xml:space="preserve">In this case study,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w:t>
      </w:r>
    </w:p>
    <w:tbl>
      <w:tblPr>
        <w:tblStyle w:val="Table"/>
        <w:tblW w:type="pct" w:w="5000"/>
        <w:tblLayout w:type="fixed"/>
        <w:tblLook w:firstRow="0" w:lastRow="0" w:firstColumn="0" w:lastColumn="0" w:noHBand="0" w:noVBand="0" w:val="0000"/>
      </w:tblPr>
      <w:tblGrid>
        <w:gridCol w:w="7920"/>
      </w:tblGrid>
      <w:tr>
        <w:tc>
          <w:tcPr/>
          <w:bookmarkStart w:id="32" w:name="fig-landcover-consensus"/>
          <w:p>
            <w:pPr>
              <w:pStyle w:val="Compact"/>
              <w:jc w:val="center"/>
            </w:pPr>
            <w:r>
              <w:drawing>
                <wp:inline>
                  <wp:extent cx="5334000" cy="4000500"/>
                  <wp:effectExtent b="0" l="0" r="0" t="0"/>
                  <wp:docPr descr="" title="" id="30" name="Picture"/>
                  <a:graphic>
                    <a:graphicData uri="http://schemas.openxmlformats.org/drawingml/2006/picture">
                      <pic:pic>
                        <pic:nvPicPr>
                          <pic:cNvPr descr="index_files/figure-docx/appendix-consensus-fig-landcover-consensus-output-1.pn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yeah</w:t>
            </w:r>
          </w:p>
          <w:bookmarkEnd w:id="32"/>
        </w:tc>
      </w:tr>
    </w:tbl>
    <w:bookmarkEnd w:id="33"/>
    <w:bookmarkStart w:id="38" w:name="using-data-from-gbif"/>
    <w:p>
      <w:pPr>
        <w:pStyle w:val="Heading2"/>
      </w:pPr>
      <w:r>
        <w:t xml:space="preserve">Using data from GBIF</w:t>
      </w:r>
    </w:p>
    <w:p>
      <w:pPr>
        <w:pStyle w:val="FirstParagraph"/>
      </w:pPr>
      <w:r>
        <w:t xml:space="preserve">(GBIF: The Global Biodiversity Information Facility 2025)</w:t>
      </w:r>
    </w:p>
    <w:p>
      <w:pPr>
        <w:pStyle w:val="BodyText"/>
      </w:pPr>
      <w:r>
        <w:t xml:space="preserve">(Karger et al. 2017)</w:t>
      </w:r>
    </w:p>
    <w:tbl>
      <w:tblPr>
        <w:tblStyle w:val="Table"/>
        <w:tblW w:type="pct" w:w="5000"/>
        <w:tblLayout w:type="fixed"/>
        <w:tblLook w:firstRow="0" w:lastRow="0" w:firstColumn="0" w:lastColumn="0" w:noHBand="0" w:noVBand="0" w:val="0000"/>
      </w:tblPr>
      <w:tblGrid>
        <w:gridCol w:w="7920"/>
      </w:tblGrid>
      <w:tr>
        <w:tc>
          <w:tcPr/>
          <w:bookmarkStart w:id="37" w:name="fig-gbif-phylopic"/>
          <w:p>
            <w:pPr>
              <w:pStyle w:val="Compact"/>
              <w:jc w:val="center"/>
            </w:pPr>
            <w:r>
              <w:drawing>
                <wp:inline>
                  <wp:extent cx="5334000" cy="5334000"/>
                  <wp:effectExtent b="0" l="0" r="0" t="0"/>
                  <wp:docPr descr="" title="" id="35" name="Picture"/>
                  <a:graphic>
                    <a:graphicData uri="http://schemas.openxmlformats.org/drawingml/2006/picture">
                      <pic:pic>
                        <pic:nvPicPr>
                          <pic:cNvPr descr="index_files/figure-docx/appendix-gbif-fig-gbif-phylopic-output-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yeah</w:t>
            </w:r>
          </w:p>
          <w:bookmarkEnd w:id="37"/>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8"/>
    <w:bookmarkStart w:id="43" w:name="training-a-species-distribution-model"/>
    <w:p>
      <w:pPr>
        <w:pStyle w:val="Heading2"/>
      </w:pPr>
      <w:r>
        <w:t xml:space="preserve">Training a species distribution model</w:t>
      </w:r>
    </w:p>
    <w:p>
      <w:pPr>
        <w:pStyle w:val="FirstParagraph"/>
      </w:pPr>
      <w:r>
        <w:t xml:space="preserve">(Bagnall et al. 2018)</w:t>
      </w:r>
    </w:p>
    <w:tbl>
      <w:tblPr>
        <w:tblStyle w:val="Table"/>
        <w:tblW w:type="pct" w:w="5000"/>
        <w:tblLayout w:type="fixed"/>
        <w:tblLook w:firstRow="0" w:lastRow="0" w:firstColumn="0" w:lastColumn="0" w:noHBand="0" w:noVBand="0" w:val="0000"/>
      </w:tblPr>
      <w:tblGrid>
        <w:gridCol w:w="7920"/>
      </w:tblGrid>
      <w:tr>
        <w:tc>
          <w:tcPr/>
          <w:bookmarkStart w:id="42" w:name="fig-sdm-output"/>
          <w:p>
            <w:pPr>
              <w:pStyle w:val="Compact"/>
              <w:jc w:val="center"/>
            </w:pPr>
            <w:r>
              <w:drawing>
                <wp:inline>
                  <wp:extent cx="5334000" cy="4000499"/>
                  <wp:effectExtent b="0" l="0" r="0" t="0"/>
                  <wp:docPr descr="" title="" id="40" name="Picture"/>
                  <a:graphic>
                    <a:graphicData uri="http://schemas.openxmlformats.org/drawingml/2006/picture">
                      <pic:pic>
                        <pic:nvPicPr>
                          <pic:cNvPr descr="index_files/figure-docx/appendix-sdm-fig-sdm-output-output-1.png" id="41"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also yeah</w:t>
            </w:r>
          </w:p>
          <w:bookmarkEnd w:id="42"/>
        </w:tc>
      </w:tr>
    </w:tbl>
    <w:bookmarkEnd w:id="43"/>
    <w:bookmarkStart w:id="48" w:name="X6a79aaf1890048ec83f6c71e7ec458b8e02ff57"/>
    <w:p>
      <w:pPr>
        <w:pStyle w:val="Heading2"/>
      </w:pPr>
      <w:r>
        <w:t xml:space="preserve">Generating the distribution of a virtual species</w:t>
      </w:r>
    </w:p>
    <w:p>
      <w:pPr>
        <w:pStyle w:val="FirstParagraph"/>
      </w:pPr>
      <w:r>
        <w:t xml:space="preserve">(Leroy et al. 2016)</w:t>
      </w:r>
    </w:p>
    <w:tbl>
      <w:tblPr>
        <w:tblStyle w:val="Table"/>
        <w:tblW w:type="pct" w:w="5000"/>
        <w:tblLayout w:type="fixed"/>
        <w:tblLook w:firstRow="0" w:lastRow="0" w:firstColumn="0" w:lastColumn="0" w:noHBand="0" w:noVBand="0" w:val="0000"/>
      </w:tblPr>
      <w:tblGrid>
        <w:gridCol w:w="7920"/>
      </w:tblGrid>
      <w:tr>
        <w:tc>
          <w:tcPr/>
          <w:bookmarkStart w:id="47" w:name="fig-virtual-species"/>
          <w:p>
            <w:pPr>
              <w:pStyle w:val="Compact"/>
              <w:jc w:val="center"/>
            </w:pPr>
            <w:r>
              <w:drawing>
                <wp:inline>
                  <wp:extent cx="5334000" cy="5334000"/>
                  <wp:effectExtent b="0" l="0" r="0" t="0"/>
                  <wp:docPr descr="" title="" id="45" name="Picture"/>
                  <a:graphic>
                    <a:graphicData uri="http://schemas.openxmlformats.org/drawingml/2006/picture">
                      <pic:pic>
                        <pic:nvPicPr>
                          <pic:cNvPr descr="index_files/figure-docx/appendix-virtualspecies-fig-virtual-species-output-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7"/>
        </w:tc>
      </w:tr>
    </w:tbl>
    <w:bookmarkEnd w:id="48"/>
    <w:bookmarkEnd w:id="49"/>
    <w:bookmarkStart w:id="77" w:name="references"/>
    <w:p>
      <w:pPr>
        <w:pStyle w:val="Heading1"/>
      </w:pPr>
      <w:r>
        <w:t xml:space="preserve">References</w:t>
      </w:r>
    </w:p>
    <w:bookmarkStart w:id="76" w:name="refs"/>
    <w:bookmarkStart w:id="51"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0">
        <w:r>
          <w:rPr>
            <w:rStyle w:val="Hyperlink"/>
          </w:rPr>
          <w:t xml:space="preserve">https://doi.org/10.1126/sciadv.aat4858</w:t>
        </w:r>
      </w:hyperlink>
      <w:r>
        <w:t xml:space="preserve">.</w:t>
      </w:r>
    </w:p>
    <w:bookmarkEnd w:id="51"/>
    <w:bookmarkStart w:id="52"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2"/>
    <w:bookmarkStart w:id="54"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53">
        <w:r>
          <w:rPr>
            <w:rStyle w:val="Hyperlink"/>
          </w:rPr>
          <w:t xml:space="preserve">https://doi.org/10.1007/s10393-021-01564-6</w:t>
        </w:r>
      </w:hyperlink>
      <w:r>
        <w:t xml:space="preserve">.</w:t>
      </w:r>
    </w:p>
    <w:bookmarkEnd w:id="54"/>
    <w:bookmarkStart w:id="56"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55">
        <w:r>
          <w:rPr>
            <w:rStyle w:val="Hyperlink"/>
          </w:rPr>
          <w:t xml:space="preserve">https://doi.org/10.1146/annurev.ecolsys.110308.120159</w:t>
        </w:r>
      </w:hyperlink>
      <w:r>
        <w:t xml:space="preserve">.</w:t>
      </w:r>
    </w:p>
    <w:bookmarkEnd w:id="56"/>
    <w:bookmarkStart w:id="57"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57"/>
    <w:bookmarkStart w:id="59"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58">
        <w:r>
          <w:rPr>
            <w:rStyle w:val="Hyperlink"/>
          </w:rPr>
          <w:t xml:space="preserve">https://doi.org/10.32942/X2M320</w:t>
        </w:r>
      </w:hyperlink>
      <w:r>
        <w:t xml:space="preserve">.</w:t>
      </w:r>
    </w:p>
    <w:bookmarkEnd w:id="59"/>
    <w:bookmarkStart w:id="61"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60">
        <w:r>
          <w:rPr>
            <w:rStyle w:val="Hyperlink"/>
          </w:rPr>
          <w:t xml:space="preserve">https://doi.org/10.1038/sdata.2017.122</w:t>
        </w:r>
      </w:hyperlink>
      <w:r>
        <w:t xml:space="preserve">.</w:t>
      </w:r>
    </w:p>
    <w:bookmarkEnd w:id="61"/>
    <w:bookmarkStart w:id="6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62">
        <w:r>
          <w:rPr>
            <w:rStyle w:val="Hyperlink"/>
          </w:rPr>
          <w:t xml:space="preserve">https://doi.org/10.1111/ecog.07346</w:t>
        </w:r>
      </w:hyperlink>
      <w:r>
        <w:t xml:space="preserve">.</w:t>
      </w:r>
    </w:p>
    <w:bookmarkEnd w:id="63"/>
    <w:bookmarkStart w:id="6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64">
        <w:r>
          <w:rPr>
            <w:rStyle w:val="Hyperlink"/>
          </w:rPr>
          <w:t xml:space="preserve">https://doi.org/10.1002/ecy.4475</w:t>
        </w:r>
      </w:hyperlink>
      <w:r>
        <w:t xml:space="preserve">.</w:t>
      </w:r>
    </w:p>
    <w:bookmarkEnd w:id="65"/>
    <w:bookmarkStart w:id="67"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66">
        <w:r>
          <w:rPr>
            <w:rStyle w:val="Hyperlink"/>
          </w:rPr>
          <w:t xml:space="preserve">https://doi.org/10.1111/ecog.01388</w:t>
        </w:r>
      </w:hyperlink>
      <w:r>
        <w:t xml:space="preserve">.</w:t>
      </w:r>
    </w:p>
    <w:bookmarkEnd w:id="67"/>
    <w:bookmarkStart w:id="69"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68">
        <w:r>
          <w:rPr>
            <w:rStyle w:val="Hyperlink"/>
          </w:rPr>
          <w:t xml:space="preserve">https://doi.org/10.1111/ecog.05880</w:t>
        </w:r>
      </w:hyperlink>
      <w:r>
        <w:t xml:space="preserve">.</w:t>
      </w:r>
    </w:p>
    <w:bookmarkEnd w:id="69"/>
    <w:bookmarkStart w:id="71"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70">
        <w:r>
          <w:rPr>
            <w:rStyle w:val="Hyperlink"/>
          </w:rPr>
          <w:t xml:space="preserve">https://doi.org/10.1644/09-MAMM-A-152.1</w:t>
        </w:r>
      </w:hyperlink>
      <w:r>
        <w:t xml:space="preserve">.</w:t>
      </w:r>
    </w:p>
    <w:bookmarkEnd w:id="71"/>
    <w:bookmarkStart w:id="73"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72">
        <w:r>
          <w:rPr>
            <w:rStyle w:val="Hyperlink"/>
          </w:rPr>
          <w:t xml:space="preserve">https://doi.org/10.1111/geb.12182</w:t>
        </w:r>
      </w:hyperlink>
      <w:r>
        <w:t xml:space="preserve">.</w:t>
      </w:r>
    </w:p>
    <w:bookmarkEnd w:id="73"/>
    <w:bookmarkStart w:id="7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74">
        <w:r>
          <w:rPr>
            <w:rStyle w:val="Hyperlink"/>
          </w:rPr>
          <w:t xml:space="preserve">https://doi.org/10.1111/ecog.04960</w:t>
        </w:r>
      </w:hyperlink>
      <w:r>
        <w:t xml:space="preserve">.</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64" Target="https://doi.org/10.1002/ecy.4475" TargetMode="External" /><Relationship Type="http://schemas.openxmlformats.org/officeDocument/2006/relationships/hyperlink" Id="rId53" Target="https://doi.org/10.1007/s10393-021-01564-6" TargetMode="External" /><Relationship Type="http://schemas.openxmlformats.org/officeDocument/2006/relationships/hyperlink" Id="rId60" Target="https://doi.org/10.1038/sdata.2017.122" TargetMode="External" /><Relationship Type="http://schemas.openxmlformats.org/officeDocument/2006/relationships/hyperlink" Id="rId66" Target="https://doi.org/10.1111/ecog.01388" TargetMode="External" /><Relationship Type="http://schemas.openxmlformats.org/officeDocument/2006/relationships/hyperlink" Id="rId74" Target="https://doi.org/10.1111/ecog.04960" TargetMode="External" /><Relationship Type="http://schemas.openxmlformats.org/officeDocument/2006/relationships/hyperlink" Id="rId68" Target="https://doi.org/10.1111/ecog.05880" TargetMode="External" /><Relationship Type="http://schemas.openxmlformats.org/officeDocument/2006/relationships/hyperlink" Id="rId62" Target="https://doi.org/10.1111/ecog.07346" TargetMode="External" /><Relationship Type="http://schemas.openxmlformats.org/officeDocument/2006/relationships/hyperlink" Id="rId72" Target="https://doi.org/10.1111/geb.12182" TargetMode="External" /><Relationship Type="http://schemas.openxmlformats.org/officeDocument/2006/relationships/hyperlink" Id="rId50" Target="https://doi.org/10.1126/sciadv.aat4858" TargetMode="External" /><Relationship Type="http://schemas.openxmlformats.org/officeDocument/2006/relationships/hyperlink" Id="rId55" Target="https://doi.org/10.1146/annurev.ecolsys.110308.120159" TargetMode="External" /><Relationship Type="http://schemas.openxmlformats.org/officeDocument/2006/relationships/hyperlink" Id="rId70" Target="https://doi.org/10.1644/09-MAMM-A-152.1" TargetMode="External" /><Relationship Type="http://schemas.openxmlformats.org/officeDocument/2006/relationships/hyperlink" Id="rId58" Target="https://doi.org/10.32942/X2M320"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02/ecy.4475" TargetMode="External" /><Relationship Type="http://schemas.openxmlformats.org/officeDocument/2006/relationships/hyperlink" Id="rId53" Target="https://doi.org/10.1007/s10393-021-01564-6" TargetMode="External" /><Relationship Type="http://schemas.openxmlformats.org/officeDocument/2006/relationships/hyperlink" Id="rId60" Target="https://doi.org/10.1038/sdata.2017.122" TargetMode="External" /><Relationship Type="http://schemas.openxmlformats.org/officeDocument/2006/relationships/hyperlink" Id="rId66" Target="https://doi.org/10.1111/ecog.01388" TargetMode="External" /><Relationship Type="http://schemas.openxmlformats.org/officeDocument/2006/relationships/hyperlink" Id="rId74" Target="https://doi.org/10.1111/ecog.04960" TargetMode="External" /><Relationship Type="http://schemas.openxmlformats.org/officeDocument/2006/relationships/hyperlink" Id="rId68" Target="https://doi.org/10.1111/ecog.05880" TargetMode="External" /><Relationship Type="http://schemas.openxmlformats.org/officeDocument/2006/relationships/hyperlink" Id="rId62" Target="https://doi.org/10.1111/ecog.07346" TargetMode="External" /><Relationship Type="http://schemas.openxmlformats.org/officeDocument/2006/relationships/hyperlink" Id="rId72" Target="https://doi.org/10.1111/geb.12182" TargetMode="External" /><Relationship Type="http://schemas.openxmlformats.org/officeDocument/2006/relationships/hyperlink" Id="rId50" Target="https://doi.org/10.1126/sciadv.aat4858" TargetMode="External" /><Relationship Type="http://schemas.openxmlformats.org/officeDocument/2006/relationships/hyperlink" Id="rId55" Target="https://doi.org/10.1146/annurev.ecolsys.110308.120159" TargetMode="External" /><Relationship Type="http://schemas.openxmlformats.org/officeDocument/2006/relationships/hyperlink" Id="rId70" Target="https://doi.org/10.1644/09-MAMM-A-152.1" TargetMode="External" /><Relationship Type="http://schemas.openxmlformats.org/officeDocument/2006/relationships/hyperlink" Id="rId58" Target="https://doi.org/10.32942/X2M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2025-02-11T18:53:30Z</dcterms:created>
  <dcterms:modified xsi:type="dcterms:W3CDTF">2025-02-11T18:53:30Z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