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5.png" ContentType="image/png"/>
  <Override PartName="/word/media/rId30.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 are one of the most effective predictive approach to study the global distribution of biodiversity</w:t>
      </w:r>
      <w:r>
        <w:t xml:space="preserve"> </w:t>
      </w:r>
      <w:r>
        <w:t xml:space="preserve">(Elith and Leathwick 2009)</w:t>
      </w:r>
      <w:r>
        <w:t xml:space="preserve">. The training and evaluation of a SDM requires many steps, governing both its design and reporting</w:t>
      </w:r>
      <w:r>
        <w:t xml:space="preserve"> </w:t>
      </w:r>
      <w:r>
        <w:t xml:space="preserve">(Zurell et al. 2020)</w:t>
      </w:r>
      <w:r>
        <w:t xml:space="preserve"> </w:t>
      </w:r>
      <w:r>
        <w:t xml:space="preserve">and ultimate use and interpretation</w:t>
      </w:r>
      <w:r>
        <w:t xml:space="preserve"> </w:t>
      </w:r>
      <w:r>
        <w:t xml:space="preserve">(Araújo et al. 2019)</w:t>
      </w:r>
      <w:r>
        <w:t xml:space="preserve">. In the recent years, there has been an increase in the number of software packages and tools to assist ecologists with the development of species distribution models.</w:t>
      </w:r>
    </w:p>
    <w:p>
      <w:pPr>
        <w:pStyle w:val="BodyText"/>
      </w:pPr>
      <w:r>
        <w:t xml:space="preserve">Because the practice of species distribution modeling and analysis usually involve many different data types, tools that can provide an integrated environment are important: many existing packages have been designed independently, and therefore may suffer when it comes to interoperability.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p>
    <w:p>
      <w:pPr>
        <w:pStyle w:val="BodyText"/>
      </w:pPr>
      <w:r>
        <w:t xml:space="preserve">As</w:t>
      </w:r>
      <w:r>
        <w:t xml:space="preserve"> </w:t>
      </w:r>
      <w:r>
        <w:t xml:space="preserve">Kass et al. (2024)</w:t>
      </w:r>
      <w:r>
        <w:t xml:space="preserve"> </w:t>
      </w:r>
      <w:r>
        <w:t xml:space="preserve">point out, this increase in the diversity of packages (most of them in the</w:t>
      </w:r>
      <w:r>
        <w:t xml:space="preserve"> </w:t>
      </w:r>
      <w:r>
        <w:rPr>
          <w:b/>
          <w:bCs/>
        </w:rPr>
        <w:t xml:space="preserve">R</w:t>
      </w:r>
      <w:r>
        <w:t xml:space="preserve"> </w:t>
      </w:r>
      <w:r>
        <w:t xml:space="preserve">language) is a good thing, as it can accommodate multiple workflows, and contributes to the adoption of good practices in the field. Yet,</w:t>
      </w:r>
      <w:r>
        <w:t xml:space="preserve"> </w:t>
      </w:r>
      <w:r>
        <w:t xml:space="preserve">Kellner, Doser, and Belant (2025)</w:t>
      </w:r>
      <w:r>
        <w:t xml:space="preserve"> </w:t>
      </w:r>
      <w:r>
        <w:t xml:space="preserve">highlight that about 20% of publications for abundance or distribution models are not reproducible because of issues in package dependencies. A leading design consideration for</w:t>
      </w:r>
      <w:r>
        <w:t xml:space="preserve"> </w:t>
      </w:r>
      <w:r>
        <w:rPr>
          <w:b/>
          <w:bCs/>
        </w:rPr>
        <w:t xml:space="preserve">SDT</w:t>
      </w:r>
      <w:r>
        <w:t xml:space="preserve"> </w:t>
      </w:r>
      <w:r>
        <w:t xml:space="preserve">was to prevent this issue from happening, both by relying on strict semantic versioning, but also through the use of interfaces rather dependencies between the components of</w:t>
      </w:r>
      <w:r>
        <w:t xml:space="preserve"> </w:t>
      </w:r>
      <w:r>
        <w:rPr>
          <w:b/>
          <w:bCs/>
        </w:rPr>
        <w:t xml:space="preserve">SDT</w:t>
      </w:r>
      <w:r>
        <w:t xml:space="preserve">.</w:t>
      </w:r>
    </w:p>
    <w:p>
      <w:pPr>
        <w:pStyle w:val="BodyText"/>
      </w:pPr>
      <w:r>
        <w:t xml:space="preserve">The</w:t>
      </w:r>
      <w:r>
        <w:t xml:space="preserve"> </w:t>
      </w:r>
      <w:r>
        <w:rPr>
          <w:b/>
          <w:bCs/>
        </w:rPr>
        <w:t xml:space="preserve">SDT</w:t>
      </w:r>
      <w:r>
        <w:t xml:space="preserve"> </w:t>
      </w:r>
      <w:r>
        <w:t xml:space="preserve">package is now used as part of the BON-in-a-Box project</w:t>
      </w:r>
      <w:r>
        <w:t xml:space="preserve"> </w:t>
      </w:r>
      <w:r>
        <w:t xml:space="preserve">(Griffith et al. 2024)</w:t>
      </w:r>
      <w:r>
        <w:t xml:space="preserve">, which seeks to facilitate the calculation and reporting of biodiversity indicators supporting the Kunming-Montréal Global Biodiversity Framework, to remove barriers to biodiversity data analysis</w:t>
      </w:r>
      <w:r>
        <w:t xml:space="preserve"> </w:t>
      </w:r>
      <w:r>
        <w:t xml:space="preserve">(Gonzalez et al. 2023)</w:t>
      </w:r>
      <w:r>
        <w:t xml:space="preserve">. In this manuscript, we describe (i) the high-level functionalities of the package, (ii) core design principles that facilitate long-term maintenance and development, and (iii) illustrative case studies with fully reproducible Jupyter notebooks.</w:t>
      </w:r>
    </w:p>
    <w:bookmarkEnd w:id="20"/>
    <w:bookmarkStart w:id="29"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licensed under the open-source initiative approved MIT license. It has evolved from a previous collection of packages to handle GBIF data</w:t>
      </w:r>
      <w:r>
        <w:t xml:space="preserve"> </w:t>
      </w:r>
      <w:r>
        <w:t xml:space="preserve">(Dansereau and Poisot 2021)</w:t>
      </w:r>
      <w:r>
        <w:t xml:space="preserve">, and now provides extended functionalities and improved performances. The package is registered in the</w:t>
      </w:r>
      <w:r>
        <w:t xml:space="preserve"> </w:t>
      </w:r>
      <w:r>
        <w:rPr>
          <w:b/>
          <w:bCs/>
        </w:rPr>
        <w:t xml:space="preserve">Julia</w:t>
      </w:r>
      <w:r>
        <w:t xml:space="preserve"> </w:t>
      </w:r>
      <w:r>
        <w:t xml:space="preserve">package repository and can be downloaded and installed anonymously. It is compatible with version 1.8 and above. The full source and complete edition history is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examples.</w:t>
      </w:r>
    </w:p>
    <w:bookmarkStart w:id="26"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multiple packages live. This allows expanding the scope of the package by moving functionalities into new component packages, without complexifying the installation process.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w:t>
      </w:r>
    </w:p>
    <w:p>
      <w:pPr>
        <w:pStyle w:val="BodyText"/>
      </w:pPr>
      <w:r>
        <w:t xml:space="preserve">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In the next section, we discuss how this modular design ensure that we can grow the functionality of the toolkit over time, while maintaining strict backward compatibility</w:t>
      </w:r>
      <w:r>
        <w:t xml:space="preserve"> </w:t>
      </w:r>
      <w:r>
        <w:rPr>
          <w:i/>
          <w:iCs/>
        </w:rPr>
        <w:t xml:space="preserve">and</w:t>
      </w:r>
      <w:r>
        <w:t xml:space="preserve"> </w:t>
      </w:r>
      <w:r>
        <w:t xml:space="preserve">allowing full reproducibility of an analysis.</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749242"/>
                  <wp:effectExtent b="0" l="0" r="0" t="0"/>
                  <wp:docPr descr="" title="" id="23" name="Picture"/>
                  <a:graphic>
                    <a:graphicData uri="http://schemas.openxmlformats.org/drawingml/2006/picture">
                      <pic:pic>
                        <pic:nvPicPr>
                          <pic:cNvPr descr="figures/SDT.png" id="24" name="Picture"/>
                          <pic:cNvPicPr>
                            <a:picLocks noChangeArrowheads="1" noChangeAspect="1"/>
                          </pic:cNvPicPr>
                        </pic:nvPicPr>
                        <pic:blipFill>
                          <a:blip r:embed="rId22"/>
                          <a:stretch>
                            <a:fillRect/>
                          </a:stretch>
                        </pic:blipFill>
                        <pic:spPr bwMode="auto">
                          <a:xfrm>
                            <a:off x="0" y="0"/>
                            <a:ext cx="5334000" cy="27492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and their more specific content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w:t>
            </w:r>
          </w:p>
          <w:bookmarkEnd w:id="25"/>
        </w:tc>
      </w:tr>
    </w:tbl>
    <w:p>
      <w:pPr>
        <w:pStyle w:val="BodyText"/>
      </w:pPr>
      <w:r>
        <w:t xml:space="preserve">The</w:t>
      </w:r>
      <w:r>
        <w:t xml:space="preserve"> </w:t>
      </w:r>
      <w:r>
        <w:rPr>
          <w:b/>
          <w:bCs/>
        </w:rPr>
        <w:t xml:space="preserve">SDT</w:t>
      </w:r>
      <w:r>
        <w:t xml:space="preserve"> </w:t>
      </w:r>
      <w:r>
        <w:t xml:space="preserve">package primarily provides integration between the other packages, through the mechanism of method overloading, allowing to efficiently join packages together</w:t>
      </w:r>
      <w:r>
        <w:t xml:space="preserve"> </w:t>
      </w:r>
      <w:r>
        <w:t xml:space="preserve">(Roesch et al. 2023)</w:t>
      </w:r>
      <w:r>
        <w:t xml:space="preserve">. Additional functionalities that reside in the top-level package are the generation of pseudo-absences inspired by</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in the future.</w:t>
      </w:r>
    </w:p>
    <w:p>
      <w:pPr>
        <w:pStyle w:val="BodyText"/>
      </w:pPr>
      <w:r>
        <w:t xml:space="preserve">The</w:t>
      </w:r>
      <w:r>
        <w:t xml:space="preserve"> </w:t>
      </w:r>
      <w:r>
        <w:rPr>
          <w:b/>
          <w:bCs/>
        </w:rPr>
        <w:t xml:space="preserve">SimpleSDMLayers</w:t>
      </w:r>
      <w:r>
        <w:t xml:space="preserve"> </w:t>
      </w:r>
      <w:r>
        <w:t xml:space="preserve">package offers a series of types to represent raster data in various projections, and a series of functions to operate on these layers. This package provides the main data representation for most functionalities that</w:t>
      </w:r>
      <w:r>
        <w:t xml:space="preserve"> </w:t>
      </w:r>
      <w:r>
        <w:rPr>
          <w:b/>
          <w:bCs/>
        </w:rPr>
        <w:t xml:space="preserve">SDT</w:t>
      </w:r>
      <w:r>
        <w:t xml:space="preserve"> </w:t>
      </w:r>
      <w:r>
        <w:t xml:space="preserve">supports, and handles saving and loading data.</w:t>
      </w:r>
    </w:p>
    <w:p>
      <w:pPr>
        <w:pStyle w:val="BodyText"/>
      </w:pPr>
      <w:r>
        <w:t xml:space="preserve">The</w:t>
      </w:r>
      <w:r>
        <w:t xml:space="preserve"> </w:t>
      </w: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w:t>
      </w:r>
      <w:r>
        <w:t xml:space="preserve"> </w:t>
      </w:r>
      <w:r>
        <w:rPr>
          <w:b/>
          <w:bCs/>
        </w:rPr>
        <w:t xml:space="preserve">OccurrencesInterface</w:t>
      </w:r>
      <w:r>
        <w:t xml:space="preserve"> </w:t>
      </w:r>
      <w:r>
        <w:t xml:space="preserve">interface,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returns a rich data representation for occurrence data,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In addition, it offers access to a series of data sources,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the PaleoClim</w:t>
      </w:r>
      <w:r>
        <w:t xml:space="preserve"> </w:t>
      </w:r>
      <w:r>
        <w:t xml:space="preserve">(Brown et al. 2018)</w:t>
      </w:r>
      <w:r>
        <w:t xml:space="preserve"> </w:t>
      </w:r>
      <w:r>
        <w:t xml:space="preserve">data, the WorldClim 1 and 2 data</w:t>
      </w:r>
      <w:r>
        <w:t xml:space="preserve"> </w:t>
      </w:r>
      <w:r>
        <w:t xml:space="preserve">(Fick and Hijmans 2017)</w:t>
      </w:r>
      <w:r>
        <w:t xml:space="preserve"> </w:t>
      </w:r>
      <w:r>
        <w:t xml:space="preserve">and their projections under various RCPs and SSP, and part of the CHELSA 1 and 2 data</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t xml:space="preserve">The</w:t>
      </w:r>
      <w:r>
        <w:t xml:space="preserve"> </w:t>
      </w:r>
      <w:r>
        <w:rPr>
          <w:b/>
          <w:bCs/>
        </w:rPr>
        <w:t xml:space="preserve">Fauxcurrences</w:t>
      </w:r>
      <w:r>
        <w:t xml:space="preserve"> </w:t>
      </w:r>
      <w:r>
        <w:t xml:space="preserve">packages 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relative weight of intra and inter-specific distances conservation.</w:t>
      </w:r>
    </w:p>
    <w:p>
      <w:pPr>
        <w:pStyle w:val="BodyText"/>
      </w:pPr>
      <w:r>
        <w:t xml:space="preserve">The</w:t>
      </w:r>
      <w:r>
        <w:t xml:space="preserve"> </w:t>
      </w:r>
      <w:r>
        <w:rPr>
          <w:b/>
          <w:bCs/>
        </w:rPr>
        <w:t xml:space="preserve">SDeMo</w:t>
      </w:r>
      <w:r>
        <w:t xml:space="preserve"> </w:t>
      </w:r>
      <w:r>
        <w:t xml:space="preserve">package is aimed at providing tools to use as part of training and education material on species distribution modeling. By providing a series of data transformation (PCA, Whitening, z-score) and classifiers (BIOCLIM, Naive Bayes, and decision trees), it offers the basic elements to demonstrate training and evaluation of SDMs, as well as techniques related to ensembles and bagging. In addition, to promote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and the generation of counterfactuals</w:t>
      </w:r>
      <w:r>
        <w:t xml:space="preserve"> </w:t>
      </w:r>
      <w:r>
        <w:t xml:space="preserve">Karimi et al. (2019)</w:t>
      </w:r>
      <w:r>
        <w:t xml:space="preserve">.</w:t>
      </w:r>
    </w:p>
    <w:bookmarkEnd w:id="26"/>
    <w:bookmarkStart w:id="27" w:name="software-information"/>
    <w:p>
      <w:pPr>
        <w:pStyle w:val="Heading2"/>
      </w:pPr>
      <w:r>
        <w:t xml:space="preserve">Software information</w:t>
      </w:r>
    </w:p>
    <w:p>
      <w:pPr>
        <w:pStyle w:val="FirstParagraph"/>
      </w:pPr>
      <w:r>
        <w:rPr>
          <w:b/>
          <w:bCs/>
        </w:rPr>
        <w:t xml:space="preserve">SDT</w:t>
      </w:r>
      <w:r>
        <w:t xml:space="preserve"> </w:t>
      </w:r>
      <w:r>
        <w:t xml:space="preserve">uses the built-in</w:t>
      </w:r>
      <w:r>
        <w:t xml:space="preserve"> </w:t>
      </w:r>
      <w:r>
        <w:rPr>
          <w:b/>
          <w:bCs/>
        </w:rPr>
        <w:t xml:space="preserve">Julia</w:t>
      </w:r>
      <w:r>
        <w:t xml:space="preserve"> </w:t>
      </w:r>
      <w:r>
        <w:t xml:space="preserve">package manager to ensure that the version of all dependencies are kept up to date. Furthermore, we use strict semantic versioning: major versions correspond to no breaking changes in user-developped code, minor versions increase with additional functionalities, and patch releases cover minor bug fixes or documentation changes. All packages have a</w:t>
      </w:r>
      <w:r>
        <w:t xml:space="preserve"> </w:t>
      </w:r>
      <w:r>
        <w:rPr>
          <w:i/>
          <w:iCs/>
        </w:rPr>
        <w:t xml:space="preserve">CHANGELOG</w:t>
      </w:r>
      <w:r>
        <w:t xml:space="preserve"> </w:t>
      </w:r>
      <w:r>
        <w:t xml:space="preserve">file, which documents what changes are included in each release.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This strict reliance on semantic versioning solves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now functionalities without risking to break existing code. This behavior is extensively tested, both using unit tests, and through integration testing generated as part of the online documentation.</w:t>
      </w:r>
    </w:p>
    <w:bookmarkEnd w:id="27"/>
    <w:bookmarkStart w:id="28" w:name="integration-with-other-packages"/>
    <w:p>
      <w:pPr>
        <w:pStyle w:val="Heading2"/>
      </w:pPr>
      <w:r>
        <w:t xml:space="preserve">Integration with other packages</w:t>
      </w:r>
    </w:p>
    <w:p>
      <w:pPr>
        <w:pStyle w:val="FirstParagraph"/>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(and all related backends) for plotting and interactive data visualisation, where usual plot types are overloaded for both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and</w:t>
      </w:r>
      <w:r>
        <w:t xml:space="preserve"> </w:t>
      </w:r>
      <w:r>
        <w:rPr>
          <w:b/>
          <w:bCs/>
        </w:rPr>
        <w:t xml:space="preserve">MLJ</w:t>
      </w:r>
      <w:r>
        <w:t xml:space="preserve">, or directly saved as csv files.</w:t>
      </w:r>
    </w:p>
    <w:p>
      <w:pPr>
        <w:pStyle w:val="BodyText"/>
      </w:pPr>
      <w:r>
        <w:t xml:space="preserve">Interfaces internal to</w:t>
      </w:r>
      <w:r>
        <w:t xml:space="preserve"> </w:t>
      </w:r>
      <w:r>
        <w:rPr>
          <w:b/>
          <w:bCs/>
        </w:rPr>
        <w:t xml:space="preserve">Julia</w:t>
      </w:r>
      <w:r>
        <w:t xml:space="preserve"> </w:t>
      </w:r>
      <w:r>
        <w:t xml:space="preserve">are also implemented whenever they make sense. In particular,</w:t>
      </w:r>
      <w:r>
        <w:t xml:space="preserve"> </w:t>
      </w:r>
      <w:r>
        <w:rPr>
          <w:b/>
          <w:bCs/>
        </w:rPr>
        <w:t xml:space="preserve">SimpleSDMLayers</w:t>
      </w:r>
      <w:r>
        <w:t xml:space="preserve"> </w:t>
      </w:r>
      <w:r>
        <w:t xml:space="preserve">objects behave like arrays, are iterable, and broadcastable; objects from</w:t>
      </w:r>
      <w:r>
        <w:t xml:space="preserve"> </w:t>
      </w:r>
      <w:r>
        <w:rPr>
          <w:b/>
          <w:bCs/>
        </w:rPr>
        <w:t xml:space="preserve">OccurrencesInterface</w:t>
      </w:r>
      <w:r>
        <w:t xml:space="preserve"> </w:t>
      </w:r>
      <w:r>
        <w:t xml:space="preserve">behave as arrays and are similarly iterable. The</w:t>
      </w:r>
      <w:r>
        <w:t xml:space="preserve"> </w:t>
      </w:r>
      <w:r>
        <w:rPr>
          <w:b/>
          <w:bCs/>
        </w:rPr>
        <w:t xml:space="preserve">SDeMo</w:t>
      </w:r>
      <w:r>
        <w:t xml:space="preserve"> </w:t>
      </w:r>
      <w:r>
        <w:t xml:space="preserve">package relies on part of the</w:t>
      </w:r>
      <w:r>
        <w:t xml:space="preserve"> </w:t>
      </w:r>
      <w:r>
        <w:rPr>
          <w:b/>
          <w:bCs/>
        </w:rPr>
        <w:t xml:space="preserve">StatsAPI</w:t>
      </w:r>
      <w:r>
        <w:t xml:space="preserve"> </w:t>
      </w:r>
      <w:r>
        <w:t xml:space="preserve">interface, allowing to easily define new data transformation and classifier types to support additional features.</w:t>
      </w:r>
    </w:p>
    <w:p>
      <w:pPr>
        <w:pStyle w:val="BodyText"/>
      </w:pPr>
      <w:r>
        <w:t xml:space="preserve">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bookmarkEnd w:id="28"/>
    <w:bookmarkEnd w:id="29"/>
    <w:bookmarkStart w:id="50"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 host or orthohantaviruses</w:t>
      </w:r>
      <w:r>
        <w:t xml:space="preserve"> </w:t>
      </w:r>
      <w:r>
        <w:t xml:space="preserve">(Burgos et al. 2021; Owen et al. 2010)</w:t>
      </w:r>
      <w:r>
        <w:t xml:space="preserve">, in Paraguay. As the notebooks accompanying this article cover the full code required to run these case studies, we do not present code snippets in the main text, and instead focus on explaining which component packages are used in each example.</w:t>
      </w:r>
    </w:p>
    <w:bookmarkStart w:id="34" w:name="using-data-from-gbif"/>
    <w:p>
      <w:pPr>
        <w:pStyle w:val="Heading2"/>
      </w:pPr>
      <w:r>
        <w:t xml:space="preserve">Using data from GBIF</w:t>
      </w:r>
    </w:p>
    <w:p>
      <w:pPr>
        <w:pStyle w:val="FirstParagraph"/>
      </w:pPr>
      <w:r>
        <w:t xml:space="preserve">To illustrate the interactions between the component packages, we provide a simple illustration (Supp. Mat. 1) where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The results are presented in</w:t>
      </w:r>
      <w:r>
        <w:t xml:space="preserve"> </w:t>
      </w:r>
      <w:hyperlink w:anchor="fig-gbif-phylopic">
        <w:r>
          <w:rPr>
            <w:rStyle w:val="Hyperlink"/>
          </w:rPr>
          <w:t xml:space="preserve">Figure 2</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3" w:name="fig-gbif-phylopic"/>
          <w:p>
            <w:pPr>
              <w:pStyle w:val="Compact"/>
              <w:jc w:val="center"/>
            </w:pPr>
            <w:r>
              <w:drawing>
                <wp:inline>
                  <wp:extent cx="5334000" cy="3556000"/>
                  <wp:effectExtent b="0" l="0" r="0" t="0"/>
                  <wp:docPr descr="" title="" id="31" name="Picture"/>
                  <a:graphic>
                    <a:graphicData uri="http://schemas.openxmlformats.org/drawingml/2006/picture">
                      <pic:pic>
                        <pic:nvPicPr>
                          <pic:cNvPr descr="index_files/figure-docx/appendix-gbif-fig-gbif-phylopic-output-1.png" id="32"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3"/>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4"/>
    <w:bookmarkStart w:id="39" w:name="landcover-consensus-map"/>
    <w:p>
      <w:pPr>
        <w:pStyle w:val="Heading2"/>
      </w:pPr>
      <w:r>
        <w:t xml:space="preserve">Landcover consensus map</w:t>
      </w:r>
    </w:p>
    <w:p>
      <w:pPr>
        <w:pStyle w:val="FirstParagraph"/>
      </w:pPr>
      <w:r>
        <w:t xml:space="preserve">In this case study (Supp. Mat. 2),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landcover-consensus"/>
          <w:p>
            <w:pPr>
              <w:pStyle w:val="Compact"/>
              <w:jc w:val="center"/>
            </w:pPr>
            <w:r>
              <w:drawing>
                <wp:inline>
                  <wp:extent cx="5334000" cy="7112000"/>
                  <wp:effectExtent b="0" l="0" r="0" t="0"/>
                  <wp:docPr descr="" title="" id="36" name="Picture"/>
                  <a:graphic>
                    <a:graphicData uri="http://schemas.openxmlformats.org/drawingml/2006/picture">
                      <pic:pic>
                        <pic:nvPicPr>
                          <pic:cNvPr descr="index_files/figure-docx/appendix-consensus-fig-landcover-consensus-output-1.png" id="37" name="Picture"/>
                          <pic:cNvPicPr>
                            <a:picLocks noChangeArrowheads="1" noChangeAspect="1"/>
                          </pic:cNvPicPr>
                        </pic:nvPicPr>
                        <pic:blipFill>
                          <a:blip r:embed="rId35"/>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Land cover consensus (defined as the class with the strongest local representation) in the country of Paraguay. Only the classes that were most abundant in at least one pixel are represented. The code to produce this ﬁgure is available as Supp. Mat. 2.</w:t>
            </w:r>
          </w:p>
          <w:bookmarkEnd w:id="38"/>
        </w:tc>
      </w:tr>
    </w:tbl>
    <w:p>
      <w:pPr>
        <w:pStyle w:val="BodyText"/>
      </w:pPr>
      <w:r>
        <w:t xml:space="preserve">When first downloading data through</w:t>
      </w:r>
      <w:r>
        <w:t xml:space="preserve"> </w:t>
      </w:r>
      <w:r>
        <w:rPr>
          <w:b/>
          <w:bCs/>
        </w:rPr>
        <w:t xml:space="preserve">SimpleSDMDatasets</w:t>
      </w:r>
      <w:r>
        <w:t xml:space="preserve">, they will be stored locally for future use. When the data are requested a second time, they are read directly from the disk, speeding up the process massively. Note that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w:t>
      </w:r>
      <w:r>
        <w:t xml:space="preserve"> </w:t>
      </w:r>
      <w:r>
        <w:rPr>
          <w:b/>
          <w:bCs/>
        </w:rPr>
        <w:t xml:space="preserve">SDT</w:t>
      </w:r>
      <w:r>
        <w:t xml:space="preserve"> </w:t>
      </w:r>
      <w:r>
        <w:t xml:space="preserve">has methods to calculate the bounding box for all the objects it supports.</w:t>
      </w:r>
    </w:p>
    <w:bookmarkEnd w:id="39"/>
    <w:bookmarkStart w:id="44"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We specifically train a rotation forest</w:t>
      </w:r>
      <w:r>
        <w:t xml:space="preserve"> </w:t>
      </w:r>
      <w:r>
        <w:t xml:space="preserve">(Bagnall et al. 2018)</w:t>
      </w:r>
      <w:r>
        <w:t xml:space="preserve">, an homogeneous ensemble of PCA followed by decision trees.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w:t>
      </w:r>
    </w:p>
    <w:tbl>
      <w:tblPr>
        <w:tblStyle w:val="Table"/>
        <w:tblW w:type="pct" w:w="5000"/>
        <w:tblLayout w:type="fixed"/>
        <w:tblLook w:firstRow="0" w:lastRow="0" w:firstColumn="0" w:lastColumn="0" w:noHBand="0" w:noVBand="0" w:val="0000"/>
      </w:tblPr>
      <w:tblGrid>
        <w:gridCol w:w="7920"/>
      </w:tblGrid>
      <w:tr>
        <w:tc>
          <w:tcPr/>
          <w:bookmarkStart w:id="43" w:name="fig-sdm-output"/>
          <w:p>
            <w:pPr>
              <w:pStyle w:val="Compact"/>
              <w:jc w:val="center"/>
            </w:pPr>
            <w:r>
              <w:drawing>
                <wp:inline>
                  <wp:extent cx="5334000" cy="5334000"/>
                  <wp:effectExtent b="0" l="0" r="0" t="0"/>
                  <wp:docPr descr="" title="" id="41" name="Picture"/>
                  <a:graphic>
                    <a:graphicData uri="http://schemas.openxmlformats.org/drawingml/2006/picture">
                      <pic:pic>
                        <pic:nvPicPr>
                          <pic:cNvPr descr="index_files/figure-docx/appendix-sdm-fig-sdm-output-output-1.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code to produce this ﬁgure is available as Supp. Mat. 3.</w:t>
            </w:r>
          </w:p>
          <w:bookmarkEnd w:id="43"/>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Supp. Mat. 3 presents the partial responses and Shapley values for the most important predictor.</w:t>
      </w:r>
    </w:p>
    <w:bookmarkEnd w:id="44"/>
    <w:bookmarkStart w:id="49" w:name="distribution-of-a-virtual-species"/>
    <w:p>
      <w:pPr>
        <w:pStyle w:val="Heading2"/>
      </w:pPr>
      <w:r>
        <w:t xml:space="preserve">Distribution of a virtual species</w:t>
      </w:r>
    </w:p>
    <w:p>
      <w:pPr>
        <w:pStyle w:val="FirstParagraph"/>
      </w:pPr>
      <w:r>
        <w:t xml:space="preserve">In the final case study (Supp. Mat. 4), we simulate a virtual distribution</w:t>
      </w:r>
      <w:r>
        <w:t xml:space="preserve"> </w:t>
      </w:r>
      <w:r>
        <w:t xml:space="preserve">(Hirzel, Helfer, and Metral 2001)</w:t>
      </w:r>
      <w:r>
        <w:t xml:space="preserve">, using a species with a logistic response to each environmental covariate</w:t>
      </w:r>
      <w:r>
        <w:t xml:space="preserve"> </w:t>
      </w:r>
      <w:r>
        <w:t xml:space="preserve">(Leroy et al. 2016)</w:t>
      </w:r>
      <w:r>
        <w:t xml:space="preserve">, and a prevalence similar to the one predicted in</w:t>
      </w:r>
      <w:r>
        <w:t xml:space="preserve"> </w:t>
      </w:r>
      <w:hyperlink w:anchor="fig-sdm-output">
        <w:r>
          <w:rPr>
            <w:rStyle w:val="Hyperlink"/>
          </w:rPr>
          <w:t xml:space="preserve">Figure 4</w:t>
        </w:r>
      </w:hyperlink>
      <w:r>
        <w:t xml:space="preserve">. The results are presented in</w:t>
      </w:r>
      <w:r>
        <w:t xml:space="preserve"> </w:t>
      </w:r>
      <w:hyperlink w:anchor="fig-virtual-species">
        <w:r>
          <w:rPr>
            <w:rStyle w:val="Hyperlink"/>
          </w:rPr>
          <w:t xml:space="preserve">Figure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8" w:name="fig-virtual-species"/>
          <w:p>
            <w:pPr>
              <w:pStyle w:val="Compact"/>
              <w:jc w:val="center"/>
            </w:pPr>
            <w:r>
              <w:drawing>
                <wp:inline>
                  <wp:extent cx="5334000" cy="5334000"/>
                  <wp:effectExtent b="0" l="0" r="0" t="0"/>
                  <wp:docPr descr="" title="" id="46" name="Picture"/>
                  <a:graphic>
                    <a:graphicData uri="http://schemas.openxmlformats.org/drawingml/2006/picture">
                      <pic:pic>
                        <pic:nvPicPr>
                          <pic:cNvPr descr="index_files/figure-docx/appendix-virtualspecies-fig-virtual-species-output-1.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Virtual distribution for a hypothetical species with logistic response to the environment, as well as a sample of simulated occurrences. The prevalence of the virtual species is equivalent to the results in</w:t>
            </w:r>
            <w:r>
              <w:t xml:space="preserve"> </w:t>
            </w:r>
            <w:hyperlink w:anchor="fig-sdm-output">
              <w:r>
                <w:rPr>
                  <w:rStyle w:val="Hyperlink"/>
                </w:rPr>
                <w:t xml:space="preserve">Figure 4</w:t>
              </w:r>
            </w:hyperlink>
            <w:r>
              <w:t xml:space="preserve">. The code to produce this ﬁgure is available as Supp. Mat. 4.</w:t>
            </w:r>
          </w:p>
          <w:bookmarkEnd w:id="48"/>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49"/>
    <w:bookmarkEnd w:id="50"/>
    <w:bookmarkStart w:id="116"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w:t>
      </w:r>
    </w:p>
    <w:p>
      <w:pPr>
        <w:pStyle w:val="BodyText"/>
      </w:pPr>
      <w:r>
        <w:t xml:space="preserve">Plans for active development of the package are focused on (i) additional techniques for pseudo-absence generations, likely leading to their separate component package, (ii) full compatibility with the</w:t>
      </w:r>
      <w:r>
        <w:t xml:space="preserve"> </w:t>
      </w:r>
      <w:r>
        <w:rPr>
          <w:b/>
          <w:bCs/>
        </w:rPr>
        <w:t xml:space="preserve">MultivariateStatistics</w:t>
      </w:r>
      <w:r>
        <w:t xml:space="preserve"> </w:t>
      </w:r>
      <w:r>
        <w:t xml:space="preserve">and</w:t>
      </w:r>
      <w:r>
        <w:t xml:space="preserve"> </w:t>
      </w:r>
      <w:r>
        <w:rPr>
          <w:b/>
          <w:bCs/>
        </w:rPr>
        <w:t xml:space="preserve">Clustering</w:t>
      </w:r>
      <w:r>
        <w:t xml:space="preserve"> </w:t>
      </w:r>
      <w:r>
        <w:t xml:space="preserve">packages for transformation and aggregation, and (iii) additional</w:t>
      </w:r>
      <w:r>
        <w:t xml:space="preserve"> </w:t>
      </w:r>
      <w:r>
        <w:rPr>
          <w:b/>
          <w:bCs/>
        </w:rPr>
        <w:t xml:space="preserve">SDeMo</w:t>
      </w:r>
      <w:r>
        <w:t xml:space="preserve"> </w:t>
      </w:r>
      <w:r>
        <w:t xml:space="preserve">functionalities to allow cross-validation techniques with biological relevant structure</w:t>
      </w:r>
      <w:r>
        <w:t xml:space="preserve"> </w:t>
      </w:r>
      <w:r>
        <w:t xml:space="preserve">(Roberts et al. 2017)</w:t>
      </w:r>
      <w:r>
        <w:t xml:space="preserve">.</w:t>
      </w:r>
    </w:p>
    <w:p>
      <w:pPr>
        <w:pStyle w:val="BodyText"/>
      </w:pPr>
      <w:r>
        <w:rPr>
          <w:b/>
          <w:bCs/>
        </w:rPr>
        <w:t xml:space="preserve">Acknowledgements:</w:t>
      </w:r>
      <w:r>
        <w:t xml:space="preserve"> </w:t>
      </w:r>
      <w:r>
        <w:t xml:space="preserve">TP is funded by an NSERC Discovery grant, a Discovery Acceleration Supplement grant, and a Wellcome Trust grant (223764/Z/21/Z).</w:t>
      </w:r>
    </w:p>
    <w:bookmarkStart w:id="115" w:name="refs"/>
    <w:bookmarkStart w:id="52"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1">
        <w:r>
          <w:rPr>
            <w:rStyle w:val="Hyperlink"/>
          </w:rPr>
          <w:t xml:space="preserve">https://doi.org/10.1126/sciadv.aat4858</w:t>
        </w:r>
      </w:hyperlink>
      <w:r>
        <w:t xml:space="preserve">.</w:t>
      </w:r>
    </w:p>
    <w:bookmarkEnd w:id="52"/>
    <w:bookmarkStart w:id="53"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3"/>
    <w:bookmarkStart w:id="55"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4">
        <w:r>
          <w:rPr>
            <w:rStyle w:val="Hyperlink"/>
          </w:rPr>
          <w:t xml:space="preserve">https://doi.org/10.1111/j.2041-210x.2011.00172.x</w:t>
        </w:r>
      </w:hyperlink>
      <w:r>
        <w:t xml:space="preserve">.</w:t>
      </w:r>
    </w:p>
    <w:bookmarkEnd w:id="55"/>
    <w:bookmarkStart w:id="57"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56">
        <w:r>
          <w:rPr>
            <w:rStyle w:val="Hyperlink"/>
          </w:rPr>
          <w:t xml:space="preserve">https://doi.org/10.1137/141000671</w:t>
        </w:r>
      </w:hyperlink>
      <w:r>
        <w:t xml:space="preserve">.</w:t>
      </w:r>
    </w:p>
    <w:bookmarkEnd w:id="57"/>
    <w:bookmarkStart w:id="59"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58">
        <w:r>
          <w:rPr>
            <w:rStyle w:val="Hyperlink"/>
          </w:rPr>
          <w:t xml:space="preserve">https://doi.org/10.1038/sdata.2018.254</w:t>
        </w:r>
      </w:hyperlink>
      <w:r>
        <w:t xml:space="preserve">.</w:t>
      </w:r>
    </w:p>
    <w:bookmarkEnd w:id="59"/>
    <w:bookmarkStart w:id="61"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0">
        <w:r>
          <w:rPr>
            <w:rStyle w:val="Hyperlink"/>
          </w:rPr>
          <w:t xml:space="preserve">https://doi.org/10.5281/ZENODO.3939050</w:t>
        </w:r>
      </w:hyperlink>
      <w:r>
        <w:t xml:space="preserve">.</w:t>
      </w:r>
    </w:p>
    <w:bookmarkEnd w:id="61"/>
    <w:bookmarkStart w:id="63"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62">
        <w:r>
          <w:rPr>
            <w:rStyle w:val="Hyperlink"/>
          </w:rPr>
          <w:t xml:space="preserve">https://doi.org/10.1007/s10393-021-01564-6</w:t>
        </w:r>
      </w:hyperlink>
      <w:r>
        <w:t xml:space="preserve">.</w:t>
      </w:r>
    </w:p>
    <w:bookmarkEnd w:id="63"/>
    <w:bookmarkStart w:id="65"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64">
        <w:r>
          <w:rPr>
            <w:rStyle w:val="Hyperlink"/>
          </w:rPr>
          <w:t xml:space="preserve">https://doi.org/10.21105/joss.02872</w:t>
        </w:r>
      </w:hyperlink>
      <w:r>
        <w:t xml:space="preserve">.</w:t>
      </w:r>
    </w:p>
    <w:bookmarkEnd w:id="65"/>
    <w:bookmarkStart w:id="67"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66">
        <w:r>
          <w:rPr>
            <w:rStyle w:val="Hyperlink"/>
          </w:rPr>
          <w:t xml:space="preserve">https://doi.org/10.1016/j.ecolmodel.2004.12.007</w:t>
        </w:r>
      </w:hyperlink>
      <w:r>
        <w:t xml:space="preserve">.</w:t>
      </w:r>
    </w:p>
    <w:bookmarkEnd w:id="67"/>
    <w:bookmarkStart w:id="69"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68">
        <w:r>
          <w:rPr>
            <w:rStyle w:val="Hyperlink"/>
          </w:rPr>
          <w:t xml:space="preserve">https://doi.org/10.1146/annurev.ecolsys.110308.120159</w:t>
        </w:r>
      </w:hyperlink>
      <w:r>
        <w:t xml:space="preserve">.</w:t>
      </w:r>
    </w:p>
    <w:bookmarkEnd w:id="69"/>
    <w:bookmarkStart w:id="71"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70">
        <w:r>
          <w:rPr>
            <w:rStyle w:val="Hyperlink"/>
          </w:rPr>
          <w:t xml:space="preserve">https://doi.org/10.1002/joc.5086</w:t>
        </w:r>
      </w:hyperlink>
      <w:r>
        <w:t xml:space="preserve">.</w:t>
      </w:r>
    </w:p>
    <w:bookmarkEnd w:id="71"/>
    <w:bookmarkStart w:id="72"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72"/>
    <w:bookmarkStart w:id="74"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73">
        <w:r>
          <w:rPr>
            <w:rStyle w:val="Hyperlink"/>
          </w:rPr>
          <w:t xml:space="preserve">https://doi.org/10.1111/2041-210x.14221</w:t>
        </w:r>
      </w:hyperlink>
      <w:r>
        <w:t xml:space="preserve">.</w:t>
      </w:r>
    </w:p>
    <w:bookmarkEnd w:id="74"/>
    <w:bookmarkStart w:id="76"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75">
        <w:r>
          <w:rPr>
            <w:rStyle w:val="Hyperlink"/>
          </w:rPr>
          <w:t xml:space="preserve">https://doi.org/10.1038/s41559-023-02171-0</w:t>
        </w:r>
      </w:hyperlink>
      <w:r>
        <w:t xml:space="preserve">.</w:t>
      </w:r>
    </w:p>
    <w:bookmarkEnd w:id="76"/>
    <w:bookmarkStart w:id="78"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77">
        <w:r>
          <w:rPr>
            <w:rStyle w:val="Hyperlink"/>
          </w:rPr>
          <w:t xml:space="preserve">https://doi.org/10.32942/X2M320</w:t>
        </w:r>
      </w:hyperlink>
      <w:r>
        <w:t xml:space="preserve">.</w:t>
      </w:r>
    </w:p>
    <w:bookmarkEnd w:id="78"/>
    <w:bookmarkStart w:id="80"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79">
        <w:r>
          <w:rPr>
            <w:rStyle w:val="Hyperlink"/>
          </w:rPr>
          <w:t xml:space="preserve">https://doi.org/10.1016/s0304-3800(01)00396-9</w:t>
        </w:r>
      </w:hyperlink>
      <w:r>
        <w:t xml:space="preserve">.</w:t>
      </w:r>
    </w:p>
    <w:bookmarkEnd w:id="80"/>
    <w:bookmarkStart w:id="82"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81">
        <w:r>
          <w:rPr>
            <w:rStyle w:val="Hyperlink"/>
          </w:rPr>
          <w:t xml:space="preserve">https://doi.org/10.1073/pnas.1302251110</w:t>
        </w:r>
      </w:hyperlink>
      <w:r>
        <w:t xml:space="preserve">.</w:t>
      </w:r>
    </w:p>
    <w:bookmarkEnd w:id="82"/>
    <w:bookmarkStart w:id="84"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83">
        <w:r>
          <w:rPr>
            <w:rStyle w:val="Hyperlink"/>
          </w:rPr>
          <w:t xml:space="preserve">https://doi.org/10.1038/sdata.2017.122</w:t>
        </w:r>
      </w:hyperlink>
      <w:r>
        <w:t xml:space="preserve">.</w:t>
      </w:r>
    </w:p>
    <w:bookmarkEnd w:id="84"/>
    <w:bookmarkStart w:id="85"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85"/>
    <w:bookmarkStart w:id="87"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86">
        <w:r>
          <w:rPr>
            <w:rStyle w:val="Hyperlink"/>
          </w:rPr>
          <w:t xml:space="preserve">https://doi.org/10.1111/ecog.07346</w:t>
        </w:r>
      </w:hyperlink>
      <w:r>
        <w:t xml:space="preserve">.</w:t>
      </w:r>
    </w:p>
    <w:bookmarkEnd w:id="87"/>
    <w:bookmarkStart w:id="89"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88">
        <w:r>
          <w:rPr>
            <w:rStyle w:val="Hyperlink"/>
          </w:rPr>
          <w:t xml:space="preserve">https://doi.org/10.1002/ecy.4475</w:t>
        </w:r>
      </w:hyperlink>
      <w:r>
        <w:t xml:space="preserve">.</w:t>
      </w:r>
    </w:p>
    <w:bookmarkEnd w:id="89"/>
    <w:bookmarkStart w:id="91"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90">
        <w:r>
          <w:rPr>
            <w:rStyle w:val="Hyperlink"/>
          </w:rPr>
          <w:t xml:space="preserve">https://doi.org/10.1145/22899.22906</w:t>
        </w:r>
      </w:hyperlink>
      <w:r>
        <w:t xml:space="preserve">.</w:t>
      </w:r>
    </w:p>
    <w:bookmarkEnd w:id="91"/>
    <w:bookmarkStart w:id="93"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92">
        <w:r>
          <w:rPr>
            <w:rStyle w:val="Hyperlink"/>
          </w:rPr>
          <w:t xml:space="preserve">https://doi.org/10.1111/ecog.01388</w:t>
        </w:r>
      </w:hyperlink>
      <w:r>
        <w:t xml:space="preserve">.</w:t>
      </w:r>
    </w:p>
    <w:bookmarkEnd w:id="93"/>
    <w:bookmarkStart w:id="95"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94">
        <w:r>
          <w:rPr>
            <w:rStyle w:val="Hyperlink"/>
          </w:rPr>
          <w:t xml:space="preserve">https://doi.org/10.1111/ddi.12209</w:t>
        </w:r>
      </w:hyperlink>
      <w:r>
        <w:t xml:space="preserve">.</w:t>
      </w:r>
    </w:p>
    <w:bookmarkEnd w:id="95"/>
    <w:bookmarkStart w:id="97"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96">
        <w:r>
          <w:rPr>
            <w:rStyle w:val="Hyperlink"/>
          </w:rPr>
          <w:t xml:space="preserve">https://doi.org/10.1111/ecog.05880</w:t>
        </w:r>
      </w:hyperlink>
      <w:r>
        <w:t xml:space="preserve">.</w:t>
      </w:r>
    </w:p>
    <w:bookmarkEnd w:id="97"/>
    <w:bookmarkStart w:id="99"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98">
        <w:r>
          <w:rPr>
            <w:rStyle w:val="Hyperlink"/>
          </w:rPr>
          <w:t xml:space="preserve">https://doi.org/10.1644/09-MAMM-A-152.1</w:t>
        </w:r>
      </w:hyperlink>
      <w:r>
        <w:t xml:space="preserve">.</w:t>
      </w:r>
    </w:p>
    <w:bookmarkEnd w:id="99"/>
    <w:bookmarkStart w:id="101"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00">
        <w:r>
          <w:rPr>
            <w:rStyle w:val="Hyperlink"/>
          </w:rPr>
          <w:t xml:space="preserve">https://doi.org/10.1111/ecog.02881</w:t>
        </w:r>
      </w:hyperlink>
      <w:r>
        <w:t xml:space="preserve">.</w:t>
      </w:r>
    </w:p>
    <w:bookmarkEnd w:id="101"/>
    <w:bookmarkStart w:id="103"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02">
        <w:r>
          <w:rPr>
            <w:rStyle w:val="Hyperlink"/>
          </w:rPr>
          <w:t xml:space="preserve">https://doi.org/10.1038/s41592-023-01832-z</w:t>
        </w:r>
      </w:hyperlink>
      <w:r>
        <w:t xml:space="preserve">.</w:t>
      </w:r>
    </w:p>
    <w:bookmarkEnd w:id="103"/>
    <w:bookmarkStart w:id="105"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04">
        <w:r>
          <w:rPr>
            <w:rStyle w:val="Hyperlink"/>
          </w:rPr>
          <w:t xml:space="preserve">https://doi.org/10.1111/geb.12182</w:t>
        </w:r>
      </w:hyperlink>
      <w:r>
        <w:t xml:space="preserve">.</w:t>
      </w:r>
    </w:p>
    <w:bookmarkEnd w:id="105"/>
    <w:bookmarkStart w:id="107"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06">
        <w:r>
          <w:rPr>
            <w:rStyle w:val="Hyperlink"/>
          </w:rPr>
          <w:t xml:space="preserve">https://doi.org/10.1111/geb.12365</w:t>
        </w:r>
      </w:hyperlink>
      <w:r>
        <w:t xml:space="preserve">.</w:t>
      </w:r>
    </w:p>
    <w:bookmarkEnd w:id="107"/>
    <w:bookmarkStart w:id="108"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08"/>
    <w:bookmarkStart w:id="110"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09">
        <w:r>
          <w:rPr>
            <w:rStyle w:val="Hyperlink"/>
          </w:rPr>
          <w:t xml:space="preserve">https://doi.org/10.5194/soil-9-21-2023</w:t>
        </w:r>
      </w:hyperlink>
      <w:r>
        <w:t xml:space="preserve">.</w:t>
      </w:r>
    </w:p>
    <w:bookmarkEnd w:id="110"/>
    <w:bookmarkStart w:id="112"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11">
        <w:r>
          <w:rPr>
            <w:rStyle w:val="Hyperlink"/>
          </w:rPr>
          <w:t xml:space="preserve">https://doi.org/10.1111/j.1472-4642.2012.00887.x</w:t>
        </w:r>
      </w:hyperlink>
      <w:r>
        <w:t xml:space="preserve">.</w:t>
      </w:r>
    </w:p>
    <w:bookmarkEnd w:id="112"/>
    <w:bookmarkStart w:id="114"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13">
        <w:r>
          <w:rPr>
            <w:rStyle w:val="Hyperlink"/>
          </w:rPr>
          <w:t xml:space="preserve">https://doi.org/10.1111/ecog.04960</w:t>
        </w:r>
      </w:hyperlink>
      <w:r>
        <w:t xml:space="preserve">.</w:t>
      </w:r>
    </w:p>
    <w:bookmarkEnd w:id="114"/>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88" Target="https://doi.org/10.1002/ecy.4475" TargetMode="External" /><Relationship Type="http://schemas.openxmlformats.org/officeDocument/2006/relationships/hyperlink" Id="rId70" Target="https://doi.org/10.1002/joc.5086" TargetMode="External" /><Relationship Type="http://schemas.openxmlformats.org/officeDocument/2006/relationships/hyperlink" Id="rId62" Target="https://doi.org/10.1007/s10393-021-01564-6" TargetMode="External" /><Relationship Type="http://schemas.openxmlformats.org/officeDocument/2006/relationships/hyperlink" Id="rId66" Target="https://doi.org/10.1016/j.ecolmodel.2004.12.007" TargetMode="External" /><Relationship Type="http://schemas.openxmlformats.org/officeDocument/2006/relationships/hyperlink" Id="rId79" Target="https://doi.org/10.1016/s0304-3800(01)00396-9" TargetMode="External" /><Relationship Type="http://schemas.openxmlformats.org/officeDocument/2006/relationships/hyperlink" Id="rId75" Target="https://doi.org/10.1038/s41559-023-02171-0" TargetMode="External" /><Relationship Type="http://schemas.openxmlformats.org/officeDocument/2006/relationships/hyperlink" Id="rId102" Target="https://doi.org/10.1038/s41592-023-01832-z" TargetMode="External" /><Relationship Type="http://schemas.openxmlformats.org/officeDocument/2006/relationships/hyperlink" Id="rId83" Target="https://doi.org/10.1038/sdata.2017.122" TargetMode="External" /><Relationship Type="http://schemas.openxmlformats.org/officeDocument/2006/relationships/hyperlink" Id="rId58" Target="https://doi.org/10.1038/sdata.2018.254" TargetMode="External" /><Relationship Type="http://schemas.openxmlformats.org/officeDocument/2006/relationships/hyperlink" Id="rId81" Target="https://doi.org/10.1073/pnas.1302251110" TargetMode="External" /><Relationship Type="http://schemas.openxmlformats.org/officeDocument/2006/relationships/hyperlink" Id="rId73" Target="https://doi.org/10.1111/2041-210x.14221" TargetMode="External" /><Relationship Type="http://schemas.openxmlformats.org/officeDocument/2006/relationships/hyperlink" Id="rId94" Target="https://doi.org/10.1111/ddi.12209" TargetMode="External" /><Relationship Type="http://schemas.openxmlformats.org/officeDocument/2006/relationships/hyperlink" Id="rId92" Target="https://doi.org/10.1111/ecog.01388" TargetMode="External" /><Relationship Type="http://schemas.openxmlformats.org/officeDocument/2006/relationships/hyperlink" Id="rId100" Target="https://doi.org/10.1111/ecog.02881" TargetMode="External" /><Relationship Type="http://schemas.openxmlformats.org/officeDocument/2006/relationships/hyperlink" Id="rId113" Target="https://doi.org/10.1111/ecog.04960" TargetMode="External" /><Relationship Type="http://schemas.openxmlformats.org/officeDocument/2006/relationships/hyperlink" Id="rId96" Target="https://doi.org/10.1111/ecog.05880" TargetMode="External" /><Relationship Type="http://schemas.openxmlformats.org/officeDocument/2006/relationships/hyperlink" Id="rId86" Target="https://doi.org/10.1111/ecog.07346" TargetMode="External" /><Relationship Type="http://schemas.openxmlformats.org/officeDocument/2006/relationships/hyperlink" Id="rId104" Target="https://doi.org/10.1111/geb.12182" TargetMode="External" /><Relationship Type="http://schemas.openxmlformats.org/officeDocument/2006/relationships/hyperlink" Id="rId106" Target="https://doi.org/10.1111/geb.12365" TargetMode="External" /><Relationship Type="http://schemas.openxmlformats.org/officeDocument/2006/relationships/hyperlink" Id="rId111" Target="https://doi.org/10.1111/j.1472-4642.2012.00887.x" TargetMode="External" /><Relationship Type="http://schemas.openxmlformats.org/officeDocument/2006/relationships/hyperlink" Id="rId54" Target="https://doi.org/10.1111/j.2041-210x.2011.00172.x" TargetMode="External" /><Relationship Type="http://schemas.openxmlformats.org/officeDocument/2006/relationships/hyperlink" Id="rId51" Target="https://doi.org/10.1126/sciadv.aat4858" TargetMode="External" /><Relationship Type="http://schemas.openxmlformats.org/officeDocument/2006/relationships/hyperlink" Id="rId56" Target="https://doi.org/10.1137/141000671" TargetMode="External" /><Relationship Type="http://schemas.openxmlformats.org/officeDocument/2006/relationships/hyperlink" Id="rId90" Target="https://doi.org/10.1145/22899.22906" TargetMode="External" /><Relationship Type="http://schemas.openxmlformats.org/officeDocument/2006/relationships/hyperlink" Id="rId68" Target="https://doi.org/10.1146/annurev.ecolsys.110308.120159" TargetMode="External" /><Relationship Type="http://schemas.openxmlformats.org/officeDocument/2006/relationships/hyperlink" Id="rId98" Target="https://doi.org/10.1644/09-MAMM-A-152.1" TargetMode="External" /><Relationship Type="http://schemas.openxmlformats.org/officeDocument/2006/relationships/hyperlink" Id="rId64" Target="https://doi.org/10.21105/joss.02872" TargetMode="External" /><Relationship Type="http://schemas.openxmlformats.org/officeDocument/2006/relationships/hyperlink" Id="rId77" Target="https://doi.org/10.32942/X2M320" TargetMode="External" /><Relationship Type="http://schemas.openxmlformats.org/officeDocument/2006/relationships/hyperlink" Id="rId109" Target="https://doi.org/10.5194/soil-9-21-2023" TargetMode="External" /><Relationship Type="http://schemas.openxmlformats.org/officeDocument/2006/relationships/hyperlink" Id="rId60" Target="https://doi.org/10.5281/ZENODO.3939050"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1002/ecy.4475" TargetMode="External" /><Relationship Type="http://schemas.openxmlformats.org/officeDocument/2006/relationships/hyperlink" Id="rId70" Target="https://doi.org/10.1002/joc.5086" TargetMode="External" /><Relationship Type="http://schemas.openxmlformats.org/officeDocument/2006/relationships/hyperlink" Id="rId62" Target="https://doi.org/10.1007/s10393-021-01564-6" TargetMode="External" /><Relationship Type="http://schemas.openxmlformats.org/officeDocument/2006/relationships/hyperlink" Id="rId66" Target="https://doi.org/10.1016/j.ecolmodel.2004.12.007" TargetMode="External" /><Relationship Type="http://schemas.openxmlformats.org/officeDocument/2006/relationships/hyperlink" Id="rId79" Target="https://doi.org/10.1016/s0304-3800(01)00396-9" TargetMode="External" /><Relationship Type="http://schemas.openxmlformats.org/officeDocument/2006/relationships/hyperlink" Id="rId75" Target="https://doi.org/10.1038/s41559-023-02171-0" TargetMode="External" /><Relationship Type="http://schemas.openxmlformats.org/officeDocument/2006/relationships/hyperlink" Id="rId102" Target="https://doi.org/10.1038/s41592-023-01832-z" TargetMode="External" /><Relationship Type="http://schemas.openxmlformats.org/officeDocument/2006/relationships/hyperlink" Id="rId83" Target="https://doi.org/10.1038/sdata.2017.122" TargetMode="External" /><Relationship Type="http://schemas.openxmlformats.org/officeDocument/2006/relationships/hyperlink" Id="rId58" Target="https://doi.org/10.1038/sdata.2018.254" TargetMode="External" /><Relationship Type="http://schemas.openxmlformats.org/officeDocument/2006/relationships/hyperlink" Id="rId81" Target="https://doi.org/10.1073/pnas.1302251110" TargetMode="External" /><Relationship Type="http://schemas.openxmlformats.org/officeDocument/2006/relationships/hyperlink" Id="rId73" Target="https://doi.org/10.1111/2041-210x.14221" TargetMode="External" /><Relationship Type="http://schemas.openxmlformats.org/officeDocument/2006/relationships/hyperlink" Id="rId94" Target="https://doi.org/10.1111/ddi.12209" TargetMode="External" /><Relationship Type="http://schemas.openxmlformats.org/officeDocument/2006/relationships/hyperlink" Id="rId92" Target="https://doi.org/10.1111/ecog.01388" TargetMode="External" /><Relationship Type="http://schemas.openxmlformats.org/officeDocument/2006/relationships/hyperlink" Id="rId100" Target="https://doi.org/10.1111/ecog.02881" TargetMode="External" /><Relationship Type="http://schemas.openxmlformats.org/officeDocument/2006/relationships/hyperlink" Id="rId113" Target="https://doi.org/10.1111/ecog.04960" TargetMode="External" /><Relationship Type="http://schemas.openxmlformats.org/officeDocument/2006/relationships/hyperlink" Id="rId96" Target="https://doi.org/10.1111/ecog.05880" TargetMode="External" /><Relationship Type="http://schemas.openxmlformats.org/officeDocument/2006/relationships/hyperlink" Id="rId86" Target="https://doi.org/10.1111/ecog.07346" TargetMode="External" /><Relationship Type="http://schemas.openxmlformats.org/officeDocument/2006/relationships/hyperlink" Id="rId104" Target="https://doi.org/10.1111/geb.12182" TargetMode="External" /><Relationship Type="http://schemas.openxmlformats.org/officeDocument/2006/relationships/hyperlink" Id="rId106" Target="https://doi.org/10.1111/geb.12365" TargetMode="External" /><Relationship Type="http://schemas.openxmlformats.org/officeDocument/2006/relationships/hyperlink" Id="rId111" Target="https://doi.org/10.1111/j.1472-4642.2012.00887.x" TargetMode="External" /><Relationship Type="http://schemas.openxmlformats.org/officeDocument/2006/relationships/hyperlink" Id="rId54" Target="https://doi.org/10.1111/j.2041-210x.2011.00172.x" TargetMode="External" /><Relationship Type="http://schemas.openxmlformats.org/officeDocument/2006/relationships/hyperlink" Id="rId51" Target="https://doi.org/10.1126/sciadv.aat4858" TargetMode="External" /><Relationship Type="http://schemas.openxmlformats.org/officeDocument/2006/relationships/hyperlink" Id="rId56" Target="https://doi.org/10.1137/141000671" TargetMode="External" /><Relationship Type="http://schemas.openxmlformats.org/officeDocument/2006/relationships/hyperlink" Id="rId90" Target="https://doi.org/10.1145/22899.22906" TargetMode="External" /><Relationship Type="http://schemas.openxmlformats.org/officeDocument/2006/relationships/hyperlink" Id="rId68" Target="https://doi.org/10.1146/annurev.ecolsys.110308.120159" TargetMode="External" /><Relationship Type="http://schemas.openxmlformats.org/officeDocument/2006/relationships/hyperlink" Id="rId98" Target="https://doi.org/10.1644/09-MAMM-A-152.1" TargetMode="External" /><Relationship Type="http://schemas.openxmlformats.org/officeDocument/2006/relationships/hyperlink" Id="rId64" Target="https://doi.org/10.21105/joss.02872" TargetMode="External" /><Relationship Type="http://schemas.openxmlformats.org/officeDocument/2006/relationships/hyperlink" Id="rId77" Target="https://doi.org/10.32942/X2M320" TargetMode="External" /><Relationship Type="http://schemas.openxmlformats.org/officeDocument/2006/relationships/hyperlink" Id="rId109" Target="https://doi.org/10.5194/soil-9-21-2023" TargetMode="External" /><Relationship Type="http://schemas.openxmlformats.org/officeDocument/2006/relationships/hyperlink" Id="rId60" Target="https://doi.org/10.5281/ZENODO.3939050"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
  <dcterms:created xsi:type="dcterms:W3CDTF">2025-02-12T17:45:54Z</dcterms:created>
  <dcterms:modified xsi:type="dcterms:W3CDTF">2025-02-12T17:45:54Z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