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an SDM is a complex process, with key decisions to make on design and reporting</w:t>
      </w:r>
      <w:r>
        <w:t xml:space="preserve"> </w:t>
      </w:r>
      <w:r>
        <w:t xml:space="preserve">(Zurell et al. 2020)</w:t>
      </w:r>
      <w:r>
        <w:t xml:space="preserve">. The ability to use the correct data format of representation at these steps is central to support the correct interpretation of these models</w:t>
      </w:r>
      <w:r>
        <w:t xml:space="preserve"> </w:t>
      </w:r>
      <w:r>
        <w:t xml:space="preserve">(Araújo et al. 2019)</w:t>
      </w:r>
      <w:r>
        <w:t xml:space="preserve">. This is particularly true since the choice of data source can affect the prediction significantly</w:t>
      </w:r>
      <w:r>
        <w:t xml:space="preserve"> </w:t>
      </w:r>
      <w:r>
        <w:t xml:space="preserve">(Merkenschlager et al. 2023; Arenas-Castro et al. 2022; Booth 2022)</w:t>
      </w:r>
      <w:r>
        <w:t xml:space="preserve">, suggesting that there is a need for flexible pipelines in which data sources can be conveniently swapped. In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SDMs are a general-purpose methodology, a varied software offer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independently.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out of publications on abundance or distribution models that share code and data, about 20%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three mechanisms. First, by relying on strict semantic versioning: package releases provide information about the compatibility of existing code. Second, through the use of interfaces: separate software components (including ones external to the package) can interact without prior knowledge of either implementation, and without dependencies between the components of</w:t>
      </w:r>
      <w:r>
        <w:t xml:space="preserve"> </w:t>
      </w:r>
      <w:r>
        <w:rPr>
          <w:b/>
          <w:bCs/>
        </w:rPr>
        <w:t xml:space="preserve">SDT</w:t>
      </w:r>
      <w:r>
        <w:t xml:space="preserve">. Finally, through the use of</w:t>
      </w:r>
      <w:r>
        <w:t xml:space="preserve"> </w:t>
      </w:r>
      <w:r>
        <w:rPr>
          <w:b/>
          <w:bCs/>
        </w:rPr>
        <w:t xml:space="preserve">Julia</w:t>
      </w:r>
      <w:r>
        <w:t xml:space="preserve">’s extension mechanism, where packages gain functionalities when loaded within the same project.</w:t>
      </w:r>
    </w:p>
    <w:p>
      <w:pPr>
        <w:pStyle w:val="BodyText"/>
      </w:pPr>
      <w:r>
        <w:t xml:space="preserve">In this manuscript, we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stable and long-term support (LTS) releases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overview">
        <w:r>
          <w:rPr>
            <w:rStyle w:val="Hyperlink"/>
          </w:rPr>
          <w:t xml:space="preserve">Figure 1</w:t>
        </w:r>
      </w:hyperlink>
      <w:r>
        <w:t xml:space="preserve">. The project is organized as a</w:t>
      </w:r>
      <w:r>
        <w:t xml:space="preserve"> </w:t>
      </w:r>
      <w:r>
        <w:t xml:space="preserve">“monorepo”</w:t>
      </w:r>
      <w:r>
        <w:t xml:space="preserve">, in which separate but interoperable packages (meaning that they can be installed independently, but are designed to work cohesively)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The monorepo structure has an important advantage for users: the code of all component packages can be found in the same location, and it makes inspecting the internal implementation of any package easier. In addition, users can open an issue describing a problem or desired feature within the monorepo, without needing to understand which component package is the right target for this issue. This both decreases barriers to interact with the software, while also facilitating the work of contributors who can look at all the issues to address in a centralized way. Similarly, monorepo lend themselves to integrated documentation, which is the approach we have chosen with the online</w:t>
      </w:r>
      <w:r>
        <w:t xml:space="preserve"> </w:t>
      </w:r>
      <w:r>
        <w:rPr>
          <w:b/>
          <w:bCs/>
        </w:rPr>
        <w:t xml:space="preserve">SDT</w:t>
      </w:r>
      <w:r>
        <w:t xml:space="preserve"> </w:t>
      </w:r>
      <w:r>
        <w:t xml:space="preserve">manual.</w:t>
      </w:r>
    </w:p>
    <w:tbl>
      <w:tblPr>
        <w:tblStyle w:val="Table"/>
        <w:tblW w:type="pct" w:w="5000"/>
        <w:tblLayout w:type="fixed"/>
        <w:tblLook w:firstRow="0" w:lastRow="0" w:firstColumn="0" w:lastColumn="0" w:noHBand="0" w:noVBand="0" w:val="0000"/>
      </w:tblPr>
      <w:tblGrid>
        <w:gridCol w:w="7920"/>
      </w:tblGrid>
      <w:tr>
        <w:tc>
          <w:tcPr/>
          <w:bookmarkStart w:id="25" w:name="fig-overview"/>
          <w:p>
            <w:pPr>
              <w:pStyle w:val="Compact"/>
              <w:jc w:val="center"/>
            </w:pPr>
            <w:r>
              <w:drawing>
                <wp:inline>
                  <wp:extent cx="5334000" cy="2922273"/>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2922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few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 Packages that are supported through extensions are in dashed boxes.</w:t>
            </w:r>
          </w:p>
          <w:bookmarkEnd w:id="25"/>
        </w:tc>
      </w:tr>
    </w:tbl>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w:t>
      </w:r>
    </w:p>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 The package also offers the functionality to download datasets from GBIF using their DOI.</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It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SimpleSDMPolygons</w:t>
      </w:r>
      <w:r>
        <w:t xml:space="preserve"> </w:t>
      </w:r>
      <w:r>
        <w:t xml:space="preserve">uses the interface from</w:t>
      </w:r>
      <w:r>
        <w:t xml:space="preserve"> </w:t>
      </w:r>
      <w:r>
        <w:rPr>
          <w:b/>
          <w:bCs/>
        </w:rPr>
        <w:t xml:space="preserve">SimpleSDMDatasets</w:t>
      </w:r>
      <w:r>
        <w:t xml:space="preserve"> </w:t>
      </w:r>
      <w:r>
        <w:t xml:space="preserve">to offer access to geospatial polygons, including the GADM database, the OpenStreetMap polygon API, as well as several providers for georegions, ecoregions, and ecoprovinces</w:t>
      </w:r>
      <w:r>
        <w:t xml:space="preserve"> </w:t>
      </w:r>
      <w:r>
        <w:t xml:space="preserve">(Dinerstein et al. 2017; Olson et al. 2001)</w:t>
      </w:r>
      <w:r>
        <w:t xml:space="preserve">.</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rPr>
          <w:b/>
          <w:bCs/>
        </w:rPr>
        <w:t xml:space="preserve">PseudoAbsences</w:t>
      </w:r>
      <w:r>
        <w:t xml:space="preserve"> </w:t>
      </w:r>
      <w:r>
        <w:t xml:space="preserve">offers functions to place pseudo-absences points on layers, under various constraint on range and distance to existing observations</w:t>
      </w:r>
      <w:r>
        <w:t xml:space="preserve"> </w:t>
      </w:r>
      <w:r>
        <w:t xml:space="preserve">(Barbet-Massin et al. 2012)</w:t>
      </w:r>
      <w:r>
        <w:t xml:space="preserve">.</w:t>
      </w:r>
    </w:p>
    <w:p>
      <w:pPr>
        <w:pStyle w:val="BodyText"/>
      </w:pPr>
      <w:r>
        <w:t xml:space="preserve">Finally,</w:t>
      </w:r>
      <w:r>
        <w:t xml:space="preserve"> </w:t>
      </w:r>
      <w:r>
        <w:rPr>
          <w:b/>
          <w:bCs/>
        </w:rPr>
        <w:t xml:space="preserve">SDeMo</w:t>
      </w:r>
      <w:r>
        <w:t xml:space="preserve"> </w:t>
      </w:r>
      <w:r>
        <w:t xml:space="preserve">provides a high-level interface to the training, validation, and interpretation of species distribution modeling. The package is built around a series of data transformation steps (PCA, Whitening, z-score, which can be chained together) and several classifiers, currently including BIOCLIM</w:t>
      </w:r>
      <w:r>
        <w:t xml:space="preserve"> </w:t>
      </w:r>
      <w:r>
        <w:t xml:space="preserve">(Booth et al. 2014)</w:t>
      </w:r>
      <w:r>
        <w:t xml:space="preserve">, Naive Bayes, logistic regression, and decision trees.</w:t>
      </w:r>
      <w:r>
        <w:t xml:space="preserve"> </w:t>
      </w:r>
      <w:r>
        <w:rPr>
          <w:b/>
          <w:bCs/>
        </w:rPr>
        <w:t xml:space="preserve">SDeMo</w:t>
      </w:r>
      <w:r>
        <w:t xml:space="preserve"> </w:t>
      </w:r>
      <w:r>
        <w:t xml:space="preserve">offers functions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 The API of</w:t>
      </w:r>
      <w:r>
        <w:t xml:space="preserve"> </w:t>
      </w:r>
      <w:r>
        <w:rPr>
          <w:b/>
          <w:bCs/>
        </w:rPr>
        <w:t xml:space="preserve">SDeMo</w:t>
      </w:r>
      <w:r>
        <w:t xml:space="preserve"> </w:t>
      </w:r>
      <w:r>
        <w:t xml:space="preserve">has been designed to (i) enforce the use of best practices, and (ii) be consistent across analyses, so that the package can be used for educational material. Despite the focus on education,</w:t>
      </w:r>
      <w:r>
        <w:t xml:space="preserve"> </w:t>
      </w:r>
      <w:r>
        <w:rPr>
          <w:b/>
          <w:bCs/>
        </w:rPr>
        <w:t xml:space="preserve">SDeMo</w:t>
      </w:r>
      <w:r>
        <w:t xml:space="preserve"> </w:t>
      </w:r>
      <w:r>
        <w:t xml:space="preserve">has been thoroughly tested and may be used for research. As it implements a generic interface to any predictive model, users can expand it by adding additional classifiers or transformers. This can be done either through a contribution to the</w:t>
      </w:r>
      <w:r>
        <w:t xml:space="preserve"> </w:t>
      </w:r>
      <w:r>
        <w:rPr>
          <w:b/>
          <w:bCs/>
        </w:rPr>
        <w:t xml:space="preserve">SDT</w:t>
      </w:r>
      <w:r>
        <w:t xml:space="preserve"> </w:t>
      </w:r>
      <w:r>
        <w:t xml:space="preserve">repository, or as part of the code written by users for a specific analysis.</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SimpleSDMPolygons</w:t>
      </w:r>
      <w:r>
        <w:t xml:space="preserve"> </w:t>
      </w:r>
      <w:r>
        <w:t xml:space="preserve">can download data directly from several polygon providers),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conversions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p>
      <w:pPr>
        <w:pStyle w:val="BodyText"/>
      </w:pPr>
      <w:r>
        <w:t xml:space="preserve">The</w:t>
      </w:r>
      <w:r>
        <w:t xml:space="preserve"> </w:t>
      </w:r>
      <w:r>
        <w:rPr>
          <w:b/>
          <w:bCs/>
        </w:rPr>
        <w:t xml:space="preserve">GBIF</w:t>
      </w:r>
      <w:r>
        <w:t xml:space="preserve"> </w:t>
      </w:r>
      <w:r>
        <w:t xml:space="preserve">package also supports download of archived GBIF datasets; in the following example, we have generated a dataset from this query, which can be accessed online</w:t>
      </w:r>
      <w:r>
        <w:t xml:space="preserve"> </w:t>
      </w:r>
      <w:r>
        <w:t xml:space="preserve">(GBIF.org 2025)</w:t>
      </w:r>
      <w:r>
        <w:t xml:space="preserve">.</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 Because</w:t>
      </w:r>
      <w:r>
        <w:t xml:space="preserve"> </w:t>
      </w:r>
      <w:r>
        <w:rPr>
          <w:b/>
          <w:bCs/>
        </w:rPr>
        <w:t xml:space="preserve">SDeMo</w:t>
      </w:r>
      <w:r>
        <w:t xml:space="preserve"> </w:t>
      </w:r>
      <w:r>
        <w:t xml:space="preserve">works through generic functions, these methods can be applied to any model specified by the user. In practice, generic purpose ML frameworks in</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can also be used and interfaced with</w:t>
      </w:r>
      <w:r>
        <w:t xml:space="preserve"> </w:t>
      </w:r>
      <w:r>
        <w:rPr>
          <w:b/>
          <w:bCs/>
        </w:rPr>
        <w:t xml:space="preserve">SDT</w:t>
      </w:r>
      <w:r>
        <w:t xml:space="preserve"> </w:t>
      </w:r>
      <w:r>
        <w:t xml:space="preserve">by using the classifier and transformer interface.</w:t>
      </w:r>
    </w:p>
    <w:p>
      <w:pPr>
        <w:pStyle w:val="BodyText"/>
      </w:pPr>
      <w:r>
        <w:t xml:space="preserve">By default,</w:t>
      </w:r>
      <w:r>
        <w:t xml:space="preserve"> </w:t>
      </w:r>
      <w:r>
        <w:rPr>
          <w:b/>
          <w:bCs/>
        </w:rPr>
        <w:t xml:space="preserve">SDeMo</w:t>
      </w:r>
      <w:r>
        <w:t xml:space="preserve"> </w:t>
      </w:r>
      <w:r>
        <w:t xml:space="preserve">will always split data for cross-validation in a way that respect class balance; in other words, the prevalence of the species is always the same in the validation and training set (this is also true when bootstrapping observations to construct homogeneous ensembles). This behavior can be adjusted, or the user may design their own training and validation sets. In the future,</w:t>
      </w:r>
      <w:r>
        <w:t xml:space="preserve"> </w:t>
      </w:r>
      <w:r>
        <w:rPr>
          <w:b/>
          <w:bCs/>
        </w:rPr>
        <w:t xml:space="preserve">PseudoAbsences</w:t>
      </w:r>
      <w:r>
        <w:t xml:space="preserve"> </w:t>
      </w:r>
      <w:r>
        <w:t xml:space="preserve">will be extended to introduce stratified cross-validation</w:t>
      </w:r>
      <w:r>
        <w:t xml:space="preserve"> </w:t>
      </w:r>
      <w:r>
        <w:t xml:space="preserve">(Roberts et al. 2017)</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Checking the partial responses, in particular in space, is an important step, as some bioclimatic variables are known to have discontinuities stemming from their interpolation that can bias the predicted range of a species</w:t>
      </w:r>
      <w:r>
        <w:t xml:space="preserve"> </w:t>
      </w:r>
      <w:r>
        <w:t xml:space="preserve">(Booth 2022)</w:t>
      </w:r>
      <w:r>
        <w:t xml:space="preserve">.</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399"/>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3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Partial responses (red) and inflated partial responses (grey) to the most important variable. In addition, the Shapley values for all training data are presented in the same figure; green points are presences, and pale points are pseudo-absences.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57"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 Plans for active development of the package are focused on (i) additional techniques for pseudo-absence generations, to be incorporated in the</w:t>
      </w:r>
      <w:r>
        <w:t xml:space="preserve"> </w:t>
      </w:r>
      <w:r>
        <w:rPr>
          <w:b/>
          <w:bCs/>
        </w:rPr>
        <w:t xml:space="preserve">PseudoAbsences</w:t>
      </w:r>
      <w:r>
        <w:t xml:space="preserve"> </w:t>
      </w:r>
      <w:r>
        <w:t xml:space="preserve">package, (ii) full compatibility with the</w:t>
      </w:r>
      <w:r>
        <w:t xml:space="preserve"> </w:t>
      </w:r>
      <w:r>
        <w:rPr>
          <w:b/>
          <w:bCs/>
        </w:rPr>
        <w:t xml:space="preserve">MultivariateStatistics</w:t>
      </w:r>
      <w:r>
        <w:t xml:space="preserve"> </w:t>
      </w:r>
      <w:r>
        <w:t xml:space="preserve">for transformation,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 Danisch and Krumbiegel 2021)</w:t>
      </w:r>
      <w:r>
        <w:t xml:space="preserve"> </w:t>
      </w:r>
      <w:r>
        <w:t xml:space="preserve">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 For situations where interfaces are not sufficient to link with other packages, we rely on</w:t>
      </w:r>
      <w:r>
        <w:t xml:space="preserve"> </w:t>
      </w:r>
      <w:r>
        <w:rPr>
          <w:b/>
          <w:bCs/>
        </w:rPr>
        <w:t xml:space="preserve">Julia</w:t>
      </w:r>
      <w:r>
        <w:t xml:space="preserve">’s extension mechanism. For instance,</w:t>
      </w:r>
      <w:r>
        <w:t xml:space="preserve"> </w:t>
      </w:r>
      <w:r>
        <w:rPr>
          <w:b/>
          <w:bCs/>
        </w:rPr>
        <w:t xml:space="preserve">SimpleSDMLayers</w:t>
      </w:r>
      <w:r>
        <w:t xml:space="preserve"> </w:t>
      </w:r>
      <w:r>
        <w:t xml:space="preserve">objects can be used with</w:t>
      </w:r>
      <w:r>
        <w:t xml:space="preserve"> </w:t>
      </w:r>
      <w:r>
        <w:rPr>
          <w:b/>
          <w:bCs/>
        </w:rPr>
        <w:t xml:space="preserve">Clustering</w:t>
      </w:r>
      <w:r>
        <w:t xml:space="preserve">,</w:t>
      </w:r>
      <w:r>
        <w:t xml:space="preserve"> </w:t>
      </w:r>
      <w:r>
        <w:rPr>
          <w:b/>
          <w:bCs/>
        </w:rPr>
        <w:t xml:space="preserve">MultivariateStats</w:t>
      </w:r>
      <w:r>
        <w:t xml:space="preserve">, as well as</w:t>
      </w:r>
      <w:r>
        <w:t xml:space="preserve"> </w:t>
      </w:r>
      <w:r>
        <w:rPr>
          <w:b/>
          <w:bCs/>
        </w:rPr>
        <w:t xml:space="preserve">SpatialBoundaries</w:t>
      </w:r>
      <w:r>
        <w:t xml:space="preserve"> </w:t>
      </w:r>
      <w:r>
        <w:t xml:space="preserve">(Strydom and Poisot 2023)</w:t>
      </w:r>
      <w:r>
        <w:t xml:space="preserve">, with strict version bounds, ensuring that this integration will remain usable regardless of possible changes in external packages.</w:t>
      </w:r>
    </w:p>
    <w:p>
      <w:pPr>
        <w:pStyle w:val="BodyText"/>
      </w:pPr>
      <w:r>
        <w:t xml:space="preserve">A key advantage of</w:t>
      </w:r>
      <w:r>
        <w:t xml:space="preserve"> </w:t>
      </w:r>
      <w:r>
        <w:rPr>
          <w:b/>
          <w:bCs/>
        </w:rPr>
        <w:t xml:space="preserve">Julia</w:t>
      </w:r>
      <w:r>
        <w:t xml:space="preserve"> </w:t>
      </w:r>
      <w:r>
        <w:t xml:space="preserve">for species distribution modeling is its emphasis on extensibility and composability. In developing</w:t>
      </w:r>
      <w:r>
        <w:t xml:space="preserve"> </w:t>
      </w:r>
      <w:r>
        <w:rPr>
          <w:b/>
          <w:bCs/>
        </w:rPr>
        <w:t xml:space="preserve">SDT</w:t>
      </w:r>
      <w:r>
        <w:t xml:space="preserve">, we leveraged these strengths by ensuring that each component package operates independently, while the top-level package provides additional methods to integrate their functionalities. Through method overloading, we minimize the number of unique function names users must learn—core operations such as arithmetic, dimension queries, and statistical summaries are consistently available across relevant data types. This unified approach not only streamlines the user experience but also makes the code more readable and accessible, which is particularly beneficial in educational settings.</w:t>
      </w:r>
      <w:r>
        <w:t xml:space="preserve"> </w:t>
      </w:r>
      <w:r>
        <w:rPr>
          <w:b/>
          <w:bCs/>
        </w:rPr>
        <w:t xml:space="preserve">SDT</w:t>
      </w:r>
      <w:r>
        <w:t xml:space="preserve"> </w:t>
      </w:r>
      <w:r>
        <w:t xml:space="preserve">is intentionally structured to promote best practices and long-term sustainability. The unified interface for occurrence, raster, and polygon data allows new data sources or representations to be incorporated with minimal changes to existing workflows. Strict adherence to semantic versioning and interface-based design ensures that updates do not compromise reproducibility. Advanced model interpretation tools—including Shapley values and counterfactuals—are built in, which will help with their adoption, and users can extend the modeling pipeline with custom classifiers or data transformations via Julia’s multiple dispatch.</w:t>
      </w:r>
    </w:p>
    <w:p>
      <w:pPr>
        <w:pStyle w:val="BodyText"/>
      </w:pPr>
      <w:r>
        <w:rPr>
          <w:b/>
          <w:bCs/>
        </w:rPr>
        <w:t xml:space="preserve">Data, script, and code availability</w:t>
      </w:r>
      <w:r>
        <w:t xml:space="preserve">: the package can be installed from the general</w:t>
      </w:r>
      <w:r>
        <w:t xml:space="preserve"> </w:t>
      </w:r>
      <w:r>
        <w:rPr>
          <w:i/>
          <w:iCs/>
        </w:rPr>
        <w:t xml:space="preserve">Julia</w:t>
      </w:r>
      <w:r>
        <w:t xml:space="preserve"> </w:t>
      </w:r>
      <w:r>
        <w:t xml:space="preserve">registry, and the version used for this manuscript is archived at</w:t>
      </w:r>
      <w:r>
        <w:t xml:space="preserve"> </w:t>
      </w:r>
      <w:r>
        <w:rPr>
          <w:rStyle w:val="VerbatimChar"/>
        </w:rPr>
        <w:t xml:space="preserve">10.5281/zenodo.15926733</w:t>
      </w:r>
      <w:r>
        <w:t xml:space="preserve">; occurrence data for</w:t>
      </w:r>
      <w:r>
        <w:t xml:space="preserve"> </w:t>
      </w:r>
      <w:r>
        <w:rPr>
          <w:i/>
          <w:iCs/>
        </w:rPr>
        <w:t xml:space="preserve">Akodon montensis</w:t>
      </w:r>
      <w:r>
        <w:t xml:space="preserve"> </w:t>
      </w:r>
      <w:r>
        <w:t xml:space="preserve">are published by GBIF.org and available from</w:t>
      </w:r>
      <w:r>
        <w:t xml:space="preserve"> </w:t>
      </w:r>
      <w:r>
        <w:rPr>
          <w:rStyle w:val="VerbatimChar"/>
        </w:rPr>
        <w:t xml:space="preserve">10.15468/dl.d3cxpr</w:t>
      </w:r>
      <w:r>
        <w:t xml:space="preserve">; the code for all supplementary material is available from</w:t>
      </w:r>
      <w:r>
        <w:t xml:space="preserve"> </w:t>
      </w:r>
      <w:r>
        <w:rPr>
          <w:rStyle w:val="VerbatimChar"/>
        </w:rPr>
        <w:t xml:space="preserve">10.5281/zenodo.15923830</w:t>
      </w:r>
      <w:r>
        <w:t xml:space="preserve">. All of these resources can be accessed for free and anonymously.</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56"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6" w:name="ref-Arenas-Castro2022"/>
    <w:p>
      <w:pPr>
        <w:pStyle w:val="Bibliography"/>
      </w:pPr>
      <w:r>
        <w:t xml:space="preserve">Arenas-Castro, Salvador, Adrián Regos, Ivone Martins, João Honrado, and Joaquim Alonso. 2022.</w:t>
      </w:r>
      <w:r>
        <w:t xml:space="preserve"> </w:t>
      </w:r>
      <w:r>
        <w:t xml:space="preserve">“Effects of Input Data Sources on Species Distribution Model Predictions Across Species with Different Distributional Ranges.”</w:t>
      </w:r>
      <w:r>
        <w:t xml:space="preserve"> </w:t>
      </w:r>
      <w:r>
        <w:rPr>
          <w:i/>
          <w:iCs/>
        </w:rPr>
        <w:t xml:space="preserve">Journal of Biogeography</w:t>
      </w:r>
      <w:r>
        <w:t xml:space="preserve"> </w:t>
      </w:r>
      <w:r>
        <w:t xml:space="preserve">49 (July): 1299–1312.</w:t>
      </w:r>
      <w:r>
        <w:t xml:space="preserve"> </w:t>
      </w:r>
      <w:hyperlink r:id="rId55">
        <w:r>
          <w:rPr>
            <w:rStyle w:val="Hyperlink"/>
          </w:rPr>
          <w:t xml:space="preserve">https://doi.org/10.1111/jbi.14382</w:t>
        </w:r>
      </w:hyperlink>
      <w:r>
        <w:t xml:space="preserve">.</w:t>
      </w:r>
    </w:p>
    <w:bookmarkEnd w:id="56"/>
    <w:bookmarkStart w:id="57"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7"/>
    <w:bookmarkStart w:id="59"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8">
        <w:r>
          <w:rPr>
            <w:rStyle w:val="Hyperlink"/>
          </w:rPr>
          <w:t xml:space="preserve">https://doi.org/10.1111/1365-2664.13782</w:t>
        </w:r>
      </w:hyperlink>
      <w:r>
        <w:t xml:space="preserve">.</w:t>
      </w:r>
    </w:p>
    <w:bookmarkEnd w:id="59"/>
    <w:bookmarkStart w:id="6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60">
        <w:r>
          <w:rPr>
            <w:rStyle w:val="Hyperlink"/>
          </w:rPr>
          <w:t xml:space="preserve">https://doi.org/10.1111/j.2041-210x.2011.00172.x</w:t>
        </w:r>
      </w:hyperlink>
      <w:r>
        <w:t xml:space="preserve">.</w:t>
      </w:r>
    </w:p>
    <w:bookmarkEnd w:id="61"/>
    <w:bookmarkStart w:id="63"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2">
        <w:r>
          <w:rPr>
            <w:rStyle w:val="Hyperlink"/>
          </w:rPr>
          <w:t xml:space="preserve">https://doi.org/10.1137/141000671</w:t>
        </w:r>
      </w:hyperlink>
      <w:r>
        <w:t xml:space="preserve">.</w:t>
      </w:r>
    </w:p>
    <w:bookmarkEnd w:id="63"/>
    <w:bookmarkStart w:id="65"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4">
        <w:r>
          <w:rPr>
            <w:rStyle w:val="Hyperlink"/>
          </w:rPr>
          <w:t xml:space="preserve">https://doi.org/10.21105/joss.02704</w:t>
        </w:r>
      </w:hyperlink>
      <w:r>
        <w:t xml:space="preserve">.</w:t>
      </w:r>
    </w:p>
    <w:bookmarkEnd w:id="65"/>
    <w:bookmarkStart w:id="67" w:name="ref-Booth2022"/>
    <w:p>
      <w:pPr>
        <w:pStyle w:val="Bibliography"/>
      </w:pPr>
      <w:r>
        <w:t xml:space="preserve">Booth, Trevor H. 2022.</w:t>
      </w:r>
      <w:r>
        <w:t xml:space="preserve"> </w:t>
      </w:r>
      <w:r>
        <w:t xml:space="preserve">“Checking Bioclimatic Variables That Combine Temperature and Precipitation Data Before Their Use in Species Distribution Models.”</w:t>
      </w:r>
      <w:r>
        <w:t xml:space="preserve"> </w:t>
      </w:r>
      <w:r>
        <w:rPr>
          <w:i/>
          <w:iCs/>
        </w:rPr>
        <w:t xml:space="preserve">Austral Ecology</w:t>
      </w:r>
      <w:r>
        <w:t xml:space="preserve"> </w:t>
      </w:r>
      <w:r>
        <w:t xml:space="preserve">47: 1506–14.</w:t>
      </w:r>
      <w:r>
        <w:t xml:space="preserve"> </w:t>
      </w:r>
      <w:hyperlink r:id="rId66">
        <w:r>
          <w:rPr>
            <w:rStyle w:val="Hyperlink"/>
          </w:rPr>
          <w:t xml:space="preserve">https://doi.org/10.1111/aec.13234</w:t>
        </w:r>
      </w:hyperlink>
      <w:r>
        <w:t xml:space="preserve">.</w:t>
      </w:r>
    </w:p>
    <w:bookmarkEnd w:id="67"/>
    <w:bookmarkStart w:id="69" w:name="ref-Booth2014"/>
    <w:p>
      <w:pPr>
        <w:pStyle w:val="Bibliography"/>
      </w:pPr>
      <w:r>
        <w:t xml:space="preserve">Booth, Trevor H, Henry A Nix, John R Busby, and Michael F Hutchinson. 2014.</w:t>
      </w:r>
      <w:r>
        <w:t xml:space="preserve"> </w:t>
      </w:r>
      <w:r>
        <w:t xml:space="preserve">“Bioclim: The First Species Distribution Modelling Package, Its Early Applications and Relevance to Most Current</w:t>
      </w:r>
      <w:r>
        <w:t xml:space="preserve"> </w:t>
      </w:r>
      <w:r>
        <w:t xml:space="preserve">MaxEnt</w:t>
      </w:r>
      <w:r>
        <w:t xml:space="preserve"> </w:t>
      </w:r>
      <w:r>
        <w:t xml:space="preserve">Studies.”</w:t>
      </w:r>
      <w:r>
        <w:t xml:space="preserve"> </w:t>
      </w:r>
      <w:r>
        <w:rPr>
          <w:i/>
          <w:iCs/>
        </w:rPr>
        <w:t xml:space="preserve">Diversity &amp; Distributions</w:t>
      </w:r>
      <w:r>
        <w:t xml:space="preserve"> </w:t>
      </w:r>
      <w:r>
        <w:t xml:space="preserve">20 (January): 1–9.</w:t>
      </w:r>
      <w:r>
        <w:t xml:space="preserve"> </w:t>
      </w:r>
      <w:hyperlink r:id="rId68">
        <w:r>
          <w:rPr>
            <w:rStyle w:val="Hyperlink"/>
          </w:rPr>
          <w:t xml:space="preserve">https://doi.org/10.1111/ddi.12144</w:t>
        </w:r>
      </w:hyperlink>
      <w:r>
        <w:t xml:space="preserve">.</w:t>
      </w:r>
    </w:p>
    <w:bookmarkEnd w:id="69"/>
    <w:bookmarkStart w:id="71"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70">
        <w:r>
          <w:rPr>
            <w:rStyle w:val="Hyperlink"/>
          </w:rPr>
          <w:t xml:space="preserve">https://doi.org/10.18637/jss.v107.i04</w:t>
        </w:r>
      </w:hyperlink>
      <w:r>
        <w:t xml:space="preserve">.</w:t>
      </w:r>
    </w:p>
    <w:bookmarkEnd w:id="71"/>
    <w:bookmarkStart w:id="73"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72">
        <w:r>
          <w:rPr>
            <w:rStyle w:val="Hyperlink"/>
          </w:rPr>
          <w:t xml:space="preserve">https://doi.org/10.1038/sdata.2018.254</w:t>
        </w:r>
      </w:hyperlink>
      <w:r>
        <w:t xml:space="preserve">.</w:t>
      </w:r>
    </w:p>
    <w:bookmarkEnd w:id="73"/>
    <w:bookmarkStart w:id="75"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74">
        <w:r>
          <w:rPr>
            <w:rStyle w:val="Hyperlink"/>
          </w:rPr>
          <w:t xml:space="preserve">https://doi.org/10.5281/ZENODO.3939050</w:t>
        </w:r>
      </w:hyperlink>
      <w:r>
        <w:t xml:space="preserve">.</w:t>
      </w:r>
    </w:p>
    <w:bookmarkEnd w:id="75"/>
    <w:bookmarkStart w:id="77"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6">
        <w:r>
          <w:rPr>
            <w:rStyle w:val="Hyperlink"/>
          </w:rPr>
          <w:t xml:space="preserve">https://doi.org/10.1007/s10393-021-01564-6</w:t>
        </w:r>
      </w:hyperlink>
      <w:r>
        <w:t xml:space="preserve">.</w:t>
      </w:r>
    </w:p>
    <w:bookmarkEnd w:id="77"/>
    <w:bookmarkStart w:id="79"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8">
        <w:r>
          <w:rPr>
            <w:rStyle w:val="Hyperlink"/>
          </w:rPr>
          <w:t xml:space="preserve">https://doi.org/10.21105/joss.03349</w:t>
        </w:r>
      </w:hyperlink>
      <w:r>
        <w:t xml:space="preserve">.</w:t>
      </w:r>
    </w:p>
    <w:bookmarkEnd w:id="79"/>
    <w:bookmarkStart w:id="81"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80">
        <w:r>
          <w:rPr>
            <w:rStyle w:val="Hyperlink"/>
          </w:rPr>
          <w:t xml:space="preserve">https://doi.org/10.1111/oik.09063</w:t>
        </w:r>
      </w:hyperlink>
      <w:r>
        <w:t xml:space="preserve">.</w:t>
      </w:r>
    </w:p>
    <w:bookmarkEnd w:id="81"/>
    <w:bookmarkStart w:id="83"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82">
        <w:r>
          <w:rPr>
            <w:rStyle w:val="Hyperlink"/>
          </w:rPr>
          <w:t xml:space="preserve">https://doi.org/10.21105/joss.02872</w:t>
        </w:r>
      </w:hyperlink>
      <w:r>
        <w:t xml:space="preserve">.</w:t>
      </w:r>
    </w:p>
    <w:bookmarkEnd w:id="83"/>
    <w:bookmarkStart w:id="85" w:name="ref-Dinerstein2017"/>
    <w:p>
      <w:pPr>
        <w:pStyle w:val="Bibliography"/>
      </w:pPr>
      <w:r>
        <w:t xml:space="preserve">Dinerstein, Eric, David Olson, Anup Joshi, Carly Vynne, Neil D Burgess, Eric Wikramanayake, Nathan Hahn, et al. 2017.</w:t>
      </w:r>
      <w:r>
        <w:t xml:space="preserve"> </w:t>
      </w:r>
      <w:r>
        <w:t xml:space="preserve">“An Ecoregion-Based Approach to Protecting Half the Terrestrial Realm.”</w:t>
      </w:r>
      <w:r>
        <w:t xml:space="preserve"> </w:t>
      </w:r>
      <w:r>
        <w:rPr>
          <w:i/>
          <w:iCs/>
        </w:rPr>
        <w:t xml:space="preserve">Bioscience</w:t>
      </w:r>
      <w:r>
        <w:t xml:space="preserve"> </w:t>
      </w:r>
      <w:r>
        <w:t xml:space="preserve">67 (June): 534–45.</w:t>
      </w:r>
      <w:r>
        <w:t xml:space="preserve"> </w:t>
      </w:r>
      <w:hyperlink r:id="rId84">
        <w:r>
          <w:rPr>
            <w:rStyle w:val="Hyperlink"/>
          </w:rPr>
          <w:t xml:space="preserve">https://doi.org/10.1093/biosci/bix014</w:t>
        </w:r>
      </w:hyperlink>
      <w:r>
        <w:t xml:space="preserve">.</w:t>
      </w:r>
    </w:p>
    <w:bookmarkEnd w:id="85"/>
    <w:bookmarkStart w:id="87"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86">
        <w:r>
          <w:rPr>
            <w:rStyle w:val="Hyperlink"/>
          </w:rPr>
          <w:t xml:space="preserve">https://doi.org/10.1890/es13-00202.1</w:t>
        </w:r>
      </w:hyperlink>
      <w:r>
        <w:t xml:space="preserve">.</w:t>
      </w:r>
    </w:p>
    <w:bookmarkEnd w:id="87"/>
    <w:bookmarkStart w:id="89"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8">
        <w:r>
          <w:rPr>
            <w:rStyle w:val="Hyperlink"/>
          </w:rPr>
          <w:t xml:space="preserve">https://doi.org/10.1016/j.ecolmodel.2004.12.007</w:t>
        </w:r>
      </w:hyperlink>
      <w:r>
        <w:t xml:space="preserve">.</w:t>
      </w:r>
    </w:p>
    <w:bookmarkEnd w:id="89"/>
    <w:bookmarkStart w:id="91"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90">
        <w:r>
          <w:rPr>
            <w:rStyle w:val="Hyperlink"/>
          </w:rPr>
          <w:t xml:space="preserve">https://doi.org/10.1146/annurev.ecolsys.110308.120159</w:t>
        </w:r>
      </w:hyperlink>
      <w:r>
        <w:t xml:space="preserve">.</w:t>
      </w:r>
    </w:p>
    <w:bookmarkEnd w:id="91"/>
    <w:bookmarkStart w:id="93"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92">
        <w:r>
          <w:rPr>
            <w:rStyle w:val="Hyperlink"/>
          </w:rPr>
          <w:t xml:space="preserve">https://doi.org/10.5281/ZENODO.5884394</w:t>
        </w:r>
      </w:hyperlink>
      <w:r>
        <w:t xml:space="preserve">.</w:t>
      </w:r>
    </w:p>
    <w:bookmarkEnd w:id="93"/>
    <w:bookmarkStart w:id="9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94">
        <w:r>
          <w:rPr>
            <w:rStyle w:val="Hyperlink"/>
          </w:rPr>
          <w:t xml:space="preserve">https://doi.org/10.1002/joc.5086</w:t>
        </w:r>
      </w:hyperlink>
      <w:r>
        <w:t xml:space="preserve">.</w:t>
      </w:r>
    </w:p>
    <w:bookmarkEnd w:id="95"/>
    <w:bookmarkStart w:id="9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96"/>
    <w:bookmarkStart w:id="98" w:name="ref-GBIForg2025"/>
    <w:p>
      <w:pPr>
        <w:pStyle w:val="Bibliography"/>
      </w:pPr>
      <w:r>
        <w:t xml:space="preserve">GBIF.org. 2025.</w:t>
      </w:r>
      <w:r>
        <w:t xml:space="preserve"> </w:t>
      </w:r>
      <w:r>
        <w:t xml:space="preserve">“</w:t>
      </w:r>
      <w:r>
        <w:t xml:space="preserve">GBIF</w:t>
      </w:r>
      <w:r>
        <w:t xml:space="preserve"> </w:t>
      </w:r>
      <w:r>
        <w:t xml:space="preserve">Occurrence Download.”</w:t>
      </w:r>
      <w:r>
        <w:t xml:space="preserve"> </w:t>
      </w:r>
      <w:r>
        <w:t xml:space="preserve">The Global Biodiversity Information Facility.</w:t>
      </w:r>
      <w:r>
        <w:t xml:space="preserve"> </w:t>
      </w:r>
      <w:hyperlink r:id="rId97">
        <w:r>
          <w:rPr>
            <w:rStyle w:val="Hyperlink"/>
          </w:rPr>
          <w:t xml:space="preserve">https://doi.org/10.15468/DL.D3CXPR</w:t>
        </w:r>
      </w:hyperlink>
      <w:r>
        <w:t xml:space="preserve">.</w:t>
      </w:r>
    </w:p>
    <w:bookmarkEnd w:id="98"/>
    <w:bookmarkStart w:id="10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99">
        <w:r>
          <w:rPr>
            <w:rStyle w:val="Hyperlink"/>
          </w:rPr>
          <w:t xml:space="preserve">https://doi.org/10.1111/2041-210x.14221</w:t>
        </w:r>
      </w:hyperlink>
      <w:r>
        <w:t xml:space="preserve">.</w:t>
      </w:r>
    </w:p>
    <w:bookmarkEnd w:id="100"/>
    <w:bookmarkStart w:id="10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101">
        <w:r>
          <w:rPr>
            <w:rStyle w:val="Hyperlink"/>
          </w:rPr>
          <w:t xml:space="preserve">https://doi.org/10.1038/s41559-023-02171-0</w:t>
        </w:r>
      </w:hyperlink>
      <w:r>
        <w:t xml:space="preserve">.</w:t>
      </w:r>
    </w:p>
    <w:bookmarkEnd w:id="102"/>
    <w:bookmarkStart w:id="10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103">
        <w:r>
          <w:rPr>
            <w:rStyle w:val="Hyperlink"/>
          </w:rPr>
          <w:t xml:space="preserve">https://doi.org/10.32942/X2M320</w:t>
        </w:r>
      </w:hyperlink>
      <w:r>
        <w:t xml:space="preserve">.</w:t>
      </w:r>
    </w:p>
    <w:bookmarkEnd w:id="104"/>
    <w:bookmarkStart w:id="10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105">
        <w:r>
          <w:rPr>
            <w:rStyle w:val="Hyperlink"/>
          </w:rPr>
          <w:t xml:space="preserve">https://doi.org/10.1111/ele.12189</w:t>
        </w:r>
      </w:hyperlink>
      <w:r>
        <w:t xml:space="preserve">.</w:t>
      </w:r>
    </w:p>
    <w:bookmarkEnd w:id="106"/>
    <w:bookmarkStart w:id="10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107">
        <w:r>
          <w:rPr>
            <w:rStyle w:val="Hyperlink"/>
          </w:rPr>
          <w:t xml:space="preserve">https://doi.org/10.1016/s0304-3800(01)00396-9</w:t>
        </w:r>
      </w:hyperlink>
      <w:r>
        <w:t xml:space="preserve">.</w:t>
      </w:r>
    </w:p>
    <w:bookmarkEnd w:id="108"/>
    <w:bookmarkStart w:id="11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109">
        <w:r>
          <w:rPr>
            <w:rStyle w:val="Hyperlink"/>
          </w:rPr>
          <w:t xml:space="preserve">https://doi.org/10.1073/pnas.1302251110</w:t>
        </w:r>
      </w:hyperlink>
      <w:r>
        <w:t xml:space="preserve">.</w:t>
      </w:r>
    </w:p>
    <w:bookmarkEnd w:id="110"/>
    <w:bookmarkStart w:id="11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11">
        <w:r>
          <w:rPr>
            <w:rStyle w:val="Hyperlink"/>
          </w:rPr>
          <w:t xml:space="preserve">https://doi.org/10.1038/sdata.2017.122</w:t>
        </w:r>
      </w:hyperlink>
      <w:r>
        <w:t xml:space="preserve">.</w:t>
      </w:r>
    </w:p>
    <w:bookmarkEnd w:id="112"/>
    <w:bookmarkStart w:id="11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13"/>
    <w:bookmarkStart w:id="11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14">
        <w:r>
          <w:rPr>
            <w:rStyle w:val="Hyperlink"/>
          </w:rPr>
          <w:t xml:space="preserve">https://doi.org/10.1111/ecog.07346</w:t>
        </w:r>
      </w:hyperlink>
      <w:r>
        <w:t xml:space="preserve">.</w:t>
      </w:r>
    </w:p>
    <w:bookmarkEnd w:id="115"/>
    <w:bookmarkStart w:id="11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16">
        <w:r>
          <w:rPr>
            <w:rStyle w:val="Hyperlink"/>
          </w:rPr>
          <w:t xml:space="preserve">https://doi.org/10.1002/ecy.4475</w:t>
        </w:r>
      </w:hyperlink>
      <w:r>
        <w:t xml:space="preserve">.</w:t>
      </w:r>
    </w:p>
    <w:bookmarkEnd w:id="117"/>
    <w:bookmarkStart w:id="119"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8">
        <w:r>
          <w:rPr>
            <w:rStyle w:val="Hyperlink"/>
          </w:rPr>
          <w:t xml:space="preserve">https://doi.org/10.1111/ele.12141</w:t>
        </w:r>
      </w:hyperlink>
      <w:r>
        <w:t xml:space="preserve">.</w:t>
      </w:r>
    </w:p>
    <w:bookmarkEnd w:id="119"/>
    <w:bookmarkStart w:id="121"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20">
        <w:r>
          <w:rPr>
            <w:rStyle w:val="Hyperlink"/>
          </w:rPr>
          <w:t xml:space="preserve">https://doi.org/10.1111/ecog.01388</w:t>
        </w:r>
      </w:hyperlink>
      <w:r>
        <w:t xml:space="preserve">.</w:t>
      </w:r>
    </w:p>
    <w:bookmarkEnd w:id="121"/>
    <w:bookmarkStart w:id="123"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22">
        <w:r>
          <w:rPr>
            <w:rStyle w:val="Hyperlink"/>
          </w:rPr>
          <w:t xml:space="preserve">https://doi.org/10.1111/j.1472-4642.2008.00491.x</w:t>
        </w:r>
      </w:hyperlink>
      <w:r>
        <w:t xml:space="preserve">.</w:t>
      </w:r>
    </w:p>
    <w:bookmarkEnd w:id="123"/>
    <w:bookmarkStart w:id="125"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24">
        <w:r>
          <w:rPr>
            <w:rStyle w:val="Hyperlink"/>
          </w:rPr>
          <w:t xml:space="preserve">https://doi.org/10.1017/s0376892913000581</w:t>
        </w:r>
      </w:hyperlink>
      <w:r>
        <w:t xml:space="preserve">.</w:t>
      </w:r>
    </w:p>
    <w:bookmarkEnd w:id="125"/>
    <w:bookmarkStart w:id="127" w:name="ref-Merkenschlager2023"/>
    <w:p>
      <w:pPr>
        <w:pStyle w:val="Bibliography"/>
      </w:pPr>
      <w:r>
        <w:t xml:space="preserve">Merkenschlager, Christian, Freddy Bangelesa, Heiko Paeth, and Elke Hertig. 2023.</w:t>
      </w:r>
      <w:r>
        <w:t xml:space="preserve"> </w:t>
      </w:r>
      <w:r>
        <w:t xml:space="preserve">“Blessing and Curse of Bioclimatic Variables: A Comparison of Different Calculation Schemes and Datasets for Species Distribution Modeling Within the Extended Mediterranean Area.”</w:t>
      </w:r>
      <w:r>
        <w:t xml:space="preserve"> </w:t>
      </w:r>
      <w:r>
        <w:rPr>
          <w:i/>
          <w:iCs/>
        </w:rPr>
        <w:t xml:space="preserve">Ecology and Evolution</w:t>
      </w:r>
      <w:r>
        <w:t xml:space="preserve"> </w:t>
      </w:r>
      <w:r>
        <w:t xml:space="preserve">13 (October): e10553.</w:t>
      </w:r>
      <w:r>
        <w:t xml:space="preserve"> </w:t>
      </w:r>
      <w:hyperlink r:id="rId126">
        <w:r>
          <w:rPr>
            <w:rStyle w:val="Hyperlink"/>
          </w:rPr>
          <w:t xml:space="preserve">https://doi.org/10.1002/ece3.10553</w:t>
        </w:r>
      </w:hyperlink>
      <w:r>
        <w:t xml:space="preserve">.</w:t>
      </w:r>
    </w:p>
    <w:bookmarkEnd w:id="127"/>
    <w:bookmarkStart w:id="12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28">
        <w:r>
          <w:rPr>
            <w:rStyle w:val="Hyperlink"/>
          </w:rPr>
          <w:t xml:space="preserve">https://doi.org/10.1111/ddi.12209</w:t>
        </w:r>
      </w:hyperlink>
      <w:r>
        <w:t xml:space="preserve">.</w:t>
      </w:r>
    </w:p>
    <w:bookmarkEnd w:id="129"/>
    <w:bookmarkStart w:id="13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30"/>
    <w:bookmarkStart w:id="132" w:name="ref-Olson2001"/>
    <w:p>
      <w:pPr>
        <w:pStyle w:val="Bibliography"/>
      </w:pPr>
      <w:r>
        <w:t xml:space="preserve">Olson, David M, Eric Dinerstein, Eric D Wikramanayake, Neil D Burgess, George V N Powell, Emma C Underwood, Jennifer A D’amico, et al. 2001.</w:t>
      </w:r>
      <w:r>
        <w:t xml:space="preserve"> </w:t>
      </w:r>
      <w:r>
        <w:t xml:space="preserve">“Terrestrial Ecoregions of the World: A New Map of Life on Earth.”</w:t>
      </w:r>
      <w:r>
        <w:t xml:space="preserve"> </w:t>
      </w:r>
      <w:r>
        <w:rPr>
          <w:i/>
          <w:iCs/>
        </w:rPr>
        <w:t xml:space="preserve">Bioscience</w:t>
      </w:r>
      <w:r>
        <w:t xml:space="preserve"> </w:t>
      </w:r>
      <w:r>
        <w:t xml:space="preserve">51 (November): 933.</w:t>
      </w:r>
      <w:r>
        <w:t xml:space="preserve"> </w:t>
      </w:r>
      <w:hyperlink r:id="rId131">
        <w:r>
          <w:rPr>
            <w:rStyle w:val="Hyperlink"/>
          </w:rPr>
          <w:t xml:space="preserve">https://doi.org/10.1641/0006-3568(2001)051[0933:teotwa]2.0.co;2</w:t>
        </w:r>
      </w:hyperlink>
      <w:r>
        <w:t xml:space="preserve">.</w:t>
      </w:r>
    </w:p>
    <w:bookmarkEnd w:id="132"/>
    <w:bookmarkStart w:id="134"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33">
        <w:r>
          <w:rPr>
            <w:rStyle w:val="Hyperlink"/>
          </w:rPr>
          <w:t xml:space="preserve">https://doi.org/10.1111/ecog.05880</w:t>
        </w:r>
      </w:hyperlink>
      <w:r>
        <w:t xml:space="preserve">.</w:t>
      </w:r>
    </w:p>
    <w:bookmarkEnd w:id="134"/>
    <w:bookmarkStart w:id="136"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35">
        <w:r>
          <w:rPr>
            <w:rStyle w:val="Hyperlink"/>
          </w:rPr>
          <w:t xml:space="preserve">https://doi.org/10.1644/09-MAMM-A-152.1</w:t>
        </w:r>
      </w:hyperlink>
      <w:r>
        <w:t xml:space="preserve">.</w:t>
      </w:r>
    </w:p>
    <w:bookmarkEnd w:id="136"/>
    <w:bookmarkStart w:id="138"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37">
        <w:r>
          <w:rPr>
            <w:rStyle w:val="Hyperlink"/>
          </w:rPr>
          <w:t xml:space="preserve">https://doi.org/10.1111/ecog.02881</w:t>
        </w:r>
      </w:hyperlink>
      <w:r>
        <w:t xml:space="preserve">.</w:t>
      </w:r>
    </w:p>
    <w:bookmarkEnd w:id="138"/>
    <w:bookmarkStart w:id="140"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39">
        <w:r>
          <w:rPr>
            <w:rStyle w:val="Hyperlink"/>
          </w:rPr>
          <w:t xml:space="preserve">https://doi.org/10.1038/s41592-023-01832-z</w:t>
        </w:r>
      </w:hyperlink>
      <w:r>
        <w:t xml:space="preserve">.</w:t>
      </w:r>
    </w:p>
    <w:bookmarkEnd w:id="140"/>
    <w:bookmarkStart w:id="142"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41">
        <w:r>
          <w:rPr>
            <w:rStyle w:val="Hyperlink"/>
          </w:rPr>
          <w:t xml:space="preserve">https://doi.org/10.1038/s41559-023-02162-1</w:t>
        </w:r>
      </w:hyperlink>
      <w:r>
        <w:t xml:space="preserve">.</w:t>
      </w:r>
    </w:p>
    <w:bookmarkEnd w:id="142"/>
    <w:bookmarkStart w:id="144" w:name="ref-Strydom2023a"/>
    <w:p>
      <w:pPr>
        <w:pStyle w:val="Bibliography"/>
      </w:pPr>
      <w:r>
        <w:t xml:space="preserve">Strydom, Tanya, and Timothée Poisot. 2023.</w:t>
      </w:r>
      <w:r>
        <w:t xml:space="preserve"> </w:t>
      </w:r>
      <w:r>
        <w:t xml:space="preserve">“</w:t>
      </w:r>
      <w:r>
        <w:t xml:space="preserve">SpatialBoundaries</w:t>
      </w:r>
      <w:r>
        <w:t xml:space="preserve">.jl: Edge Detection Using Spatial Wombling.”</w:t>
      </w:r>
      <w:r>
        <w:t xml:space="preserve"> </w:t>
      </w:r>
      <w:r>
        <w:rPr>
          <w:i/>
          <w:iCs/>
        </w:rPr>
        <w:t xml:space="preserve">Ecography</w:t>
      </w:r>
      <w:r>
        <w:t xml:space="preserve"> </w:t>
      </w:r>
      <w:r>
        <w:t xml:space="preserve">2023 (May).</w:t>
      </w:r>
      <w:r>
        <w:t xml:space="preserve"> </w:t>
      </w:r>
      <w:hyperlink r:id="rId143">
        <w:r>
          <w:rPr>
            <w:rStyle w:val="Hyperlink"/>
          </w:rPr>
          <w:t xml:space="preserve">https://doi.org/10.1111/ecog.06609</w:t>
        </w:r>
      </w:hyperlink>
      <w:r>
        <w:t xml:space="preserve">.</w:t>
      </w:r>
    </w:p>
    <w:bookmarkEnd w:id="144"/>
    <w:bookmarkStart w:id="146"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45">
        <w:r>
          <w:rPr>
            <w:rStyle w:val="Hyperlink"/>
          </w:rPr>
          <w:t xml:space="preserve">https://doi.org/10.1111/geb.12182</w:t>
        </w:r>
      </w:hyperlink>
      <w:r>
        <w:t xml:space="preserve">.</w:t>
      </w:r>
    </w:p>
    <w:bookmarkEnd w:id="146"/>
    <w:bookmarkStart w:id="148"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47">
        <w:r>
          <w:rPr>
            <w:rStyle w:val="Hyperlink"/>
          </w:rPr>
          <w:t xml:space="preserve">https://doi.org/10.1111/geb.12365</w:t>
        </w:r>
      </w:hyperlink>
      <w:r>
        <w:t xml:space="preserve">.</w:t>
      </w:r>
    </w:p>
    <w:bookmarkEnd w:id="148"/>
    <w:bookmarkStart w:id="149"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49"/>
    <w:bookmarkStart w:id="151"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50">
        <w:r>
          <w:rPr>
            <w:rStyle w:val="Hyperlink"/>
          </w:rPr>
          <w:t xml:space="preserve">https://doi.org/10.5194/soil-9-21-2023</w:t>
        </w:r>
      </w:hyperlink>
      <w:r>
        <w:t xml:space="preserve">.</w:t>
      </w:r>
    </w:p>
    <w:bookmarkEnd w:id="151"/>
    <w:bookmarkStart w:id="153"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52">
        <w:r>
          <w:rPr>
            <w:rStyle w:val="Hyperlink"/>
          </w:rPr>
          <w:t xml:space="preserve">https://doi.org/10.1111/j.1472-4642.2012.00887.x</w:t>
        </w:r>
      </w:hyperlink>
      <w:r>
        <w:t xml:space="preserve">.</w:t>
      </w:r>
    </w:p>
    <w:bookmarkEnd w:id="153"/>
    <w:bookmarkStart w:id="15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54">
        <w:r>
          <w:rPr>
            <w:rStyle w:val="Hyperlink"/>
          </w:rPr>
          <w:t xml:space="preserve">https://doi.org/10.1111/ecog.04960</w:t>
        </w:r>
      </w:hyperlink>
      <w:r>
        <w:t xml:space="preserve">.</w:t>
      </w:r>
    </w:p>
    <w:bookmarkEnd w:id="155"/>
    <w:bookmarkEnd w:id="156"/>
    <w:bookmarkEnd w:id="15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26" Target="https://doi.org/10.1002/ece3.10553" TargetMode="External" /><Relationship Type="http://schemas.openxmlformats.org/officeDocument/2006/relationships/hyperlink" Id="rId116" Target="https://doi.org/10.1002/ecy.4475" TargetMode="External" /><Relationship Type="http://schemas.openxmlformats.org/officeDocument/2006/relationships/hyperlink" Id="rId94" Target="https://doi.org/10.1002/joc.5086" TargetMode="External" /><Relationship Type="http://schemas.openxmlformats.org/officeDocument/2006/relationships/hyperlink" Id="rId76" Target="https://doi.org/10.1007/s10393-021-01564-6" TargetMode="External" /><Relationship Type="http://schemas.openxmlformats.org/officeDocument/2006/relationships/hyperlink" Id="rId88" Target="https://doi.org/10.1016/j.ecolmodel.2004.12.007" TargetMode="External" /><Relationship Type="http://schemas.openxmlformats.org/officeDocument/2006/relationships/hyperlink" Id="rId107" Target="https://doi.org/10.1016/s0304-3800(01)00396-9" TargetMode="External" /><Relationship Type="http://schemas.openxmlformats.org/officeDocument/2006/relationships/hyperlink" Id="rId124" Target="https://doi.org/10.1017/s0376892913000581" TargetMode="External" /><Relationship Type="http://schemas.openxmlformats.org/officeDocument/2006/relationships/hyperlink" Id="rId141" Target="https://doi.org/10.1038/s41559-023-02162-1" TargetMode="External" /><Relationship Type="http://schemas.openxmlformats.org/officeDocument/2006/relationships/hyperlink" Id="rId101" Target="https://doi.org/10.1038/s41559-023-02171-0" TargetMode="External" /><Relationship Type="http://schemas.openxmlformats.org/officeDocument/2006/relationships/hyperlink" Id="rId139" Target="https://doi.org/10.1038/s41592-023-01832-z" TargetMode="External" /><Relationship Type="http://schemas.openxmlformats.org/officeDocument/2006/relationships/hyperlink" Id="rId111" Target="https://doi.org/10.1038/sdata.2017.122" TargetMode="External" /><Relationship Type="http://schemas.openxmlformats.org/officeDocument/2006/relationships/hyperlink" Id="rId72" Target="https://doi.org/10.1038/sdata.2018.254" TargetMode="External" /><Relationship Type="http://schemas.openxmlformats.org/officeDocument/2006/relationships/hyperlink" Id="rId109" Target="https://doi.org/10.1073/pnas.1302251110" TargetMode="External" /><Relationship Type="http://schemas.openxmlformats.org/officeDocument/2006/relationships/hyperlink" Id="rId84" Target="https://doi.org/10.1093/biosci/bix014" TargetMode="External" /><Relationship Type="http://schemas.openxmlformats.org/officeDocument/2006/relationships/hyperlink" Id="rId58" Target="https://doi.org/10.1111/1365-2664.13782" TargetMode="External" /><Relationship Type="http://schemas.openxmlformats.org/officeDocument/2006/relationships/hyperlink" Id="rId99" Target="https://doi.org/10.1111/2041-210x.14221" TargetMode="External" /><Relationship Type="http://schemas.openxmlformats.org/officeDocument/2006/relationships/hyperlink" Id="rId66" Target="https://doi.org/10.1111/aec.13234" TargetMode="External" /><Relationship Type="http://schemas.openxmlformats.org/officeDocument/2006/relationships/hyperlink" Id="rId68" Target="https://doi.org/10.1111/ddi.12144" TargetMode="External" /><Relationship Type="http://schemas.openxmlformats.org/officeDocument/2006/relationships/hyperlink" Id="rId128" Target="https://doi.org/10.1111/ddi.12209" TargetMode="External" /><Relationship Type="http://schemas.openxmlformats.org/officeDocument/2006/relationships/hyperlink" Id="rId120" Target="https://doi.org/10.1111/ecog.01388" TargetMode="External" /><Relationship Type="http://schemas.openxmlformats.org/officeDocument/2006/relationships/hyperlink" Id="rId137" Target="https://doi.org/10.1111/ecog.02881" TargetMode="External" /><Relationship Type="http://schemas.openxmlformats.org/officeDocument/2006/relationships/hyperlink" Id="rId154" Target="https://doi.org/10.1111/ecog.04960" TargetMode="External" /><Relationship Type="http://schemas.openxmlformats.org/officeDocument/2006/relationships/hyperlink" Id="rId133" Target="https://doi.org/10.1111/ecog.05880" TargetMode="External" /><Relationship Type="http://schemas.openxmlformats.org/officeDocument/2006/relationships/hyperlink" Id="rId143" Target="https://doi.org/10.1111/ecog.06609" TargetMode="External" /><Relationship Type="http://schemas.openxmlformats.org/officeDocument/2006/relationships/hyperlink" Id="rId114" Target="https://doi.org/10.1111/ecog.07346" TargetMode="External" /><Relationship Type="http://schemas.openxmlformats.org/officeDocument/2006/relationships/hyperlink" Id="rId118" Target="https://doi.org/10.1111/ele.12141" TargetMode="External" /><Relationship Type="http://schemas.openxmlformats.org/officeDocument/2006/relationships/hyperlink" Id="rId105" Target="https://doi.org/10.1111/ele.12189" TargetMode="External" /><Relationship Type="http://schemas.openxmlformats.org/officeDocument/2006/relationships/hyperlink" Id="rId145" Target="https://doi.org/10.1111/geb.12182" TargetMode="External" /><Relationship Type="http://schemas.openxmlformats.org/officeDocument/2006/relationships/hyperlink" Id="rId147" Target="https://doi.org/10.1111/geb.12365" TargetMode="External" /><Relationship Type="http://schemas.openxmlformats.org/officeDocument/2006/relationships/hyperlink" Id="rId122" Target="https://doi.org/10.1111/j.1472-4642.2008.00491.x" TargetMode="External" /><Relationship Type="http://schemas.openxmlformats.org/officeDocument/2006/relationships/hyperlink" Id="rId152" Target="https://doi.org/10.1111/j.1472-4642.2012.00887.x" TargetMode="External" /><Relationship Type="http://schemas.openxmlformats.org/officeDocument/2006/relationships/hyperlink" Id="rId60" Target="https://doi.org/10.1111/j.2041-210x.2011.00172.x" TargetMode="External" /><Relationship Type="http://schemas.openxmlformats.org/officeDocument/2006/relationships/hyperlink" Id="rId55" Target="https://doi.org/10.1111/jbi.14382" TargetMode="External" /><Relationship Type="http://schemas.openxmlformats.org/officeDocument/2006/relationships/hyperlink" Id="rId80"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2" Target="https://doi.org/10.1137/141000671" TargetMode="External" /><Relationship Type="http://schemas.openxmlformats.org/officeDocument/2006/relationships/hyperlink" Id="rId90" Target="https://doi.org/10.1146/annurev.ecolsys.110308.120159" TargetMode="External" /><Relationship Type="http://schemas.openxmlformats.org/officeDocument/2006/relationships/hyperlink" Id="rId97" Target="https://doi.org/10.15468/DL.D3CXPR" TargetMode="External" /><Relationship Type="http://schemas.openxmlformats.org/officeDocument/2006/relationships/hyperlink" Id="rId131" Target="https://doi.org/10.1641/0006-3568(2001)051[0933:teotwa]2.0.co;2" TargetMode="External" /><Relationship Type="http://schemas.openxmlformats.org/officeDocument/2006/relationships/hyperlink" Id="rId135" Target="https://doi.org/10.1644/09-MAMM-A-152.1" TargetMode="External" /><Relationship Type="http://schemas.openxmlformats.org/officeDocument/2006/relationships/hyperlink" Id="rId70" Target="https://doi.org/10.18637/jss.v107.i04" TargetMode="External" /><Relationship Type="http://schemas.openxmlformats.org/officeDocument/2006/relationships/hyperlink" Id="rId86" Target="https://doi.org/10.1890/es13-00202.1" TargetMode="External" /><Relationship Type="http://schemas.openxmlformats.org/officeDocument/2006/relationships/hyperlink" Id="rId64" Target="https://doi.org/10.21105/joss.02704" TargetMode="External" /><Relationship Type="http://schemas.openxmlformats.org/officeDocument/2006/relationships/hyperlink" Id="rId82" Target="https://doi.org/10.21105/joss.02872" TargetMode="External" /><Relationship Type="http://schemas.openxmlformats.org/officeDocument/2006/relationships/hyperlink" Id="rId78" Target="https://doi.org/10.21105/joss.03349" TargetMode="External" /><Relationship Type="http://schemas.openxmlformats.org/officeDocument/2006/relationships/hyperlink" Id="rId103" Target="https://doi.org/10.32942/X2M320" TargetMode="External" /><Relationship Type="http://schemas.openxmlformats.org/officeDocument/2006/relationships/hyperlink" Id="rId150" Target="https://doi.org/10.5194/soil-9-21-2023" TargetMode="External" /><Relationship Type="http://schemas.openxmlformats.org/officeDocument/2006/relationships/hyperlink" Id="rId74" Target="https://doi.org/10.5281/ZENODO.3939050" TargetMode="External" /><Relationship Type="http://schemas.openxmlformats.org/officeDocument/2006/relationships/hyperlink" Id="rId92"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2025-07-18T13:28:36Z</dcterms:created>
  <dcterms:modified xsi:type="dcterms:W3CDTF">2025-07-18T13:28:36Z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