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0.png" ContentType="image/png"/>
  <Override PartName="/word/media/rId35.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LATER</w:t>
      </w:r>
    </w:p>
    <w:bookmarkStart w:id="20" w:name="introduction"/>
    <w:p>
      <w:pPr>
        <w:pStyle w:val="Heading1"/>
      </w:pPr>
      <w:r>
        <w:t xml:space="preserve">Introduction</w:t>
      </w:r>
    </w:p>
    <w:p>
      <w:pPr>
        <w:pStyle w:val="FirstParagraph"/>
      </w:pPr>
      <w:r>
        <w:t xml:space="preserve">Species Distribution Models (SDMs) are one of the most effective predictive approach to study the global distribution of biodiversity</w:t>
      </w:r>
      <w:r>
        <w:t xml:space="preserve"> </w:t>
      </w:r>
      <w:r>
        <w:t xml:space="preserve">(Elith and Leathwick 2009)</w:t>
      </w:r>
      <w:r>
        <w:t xml:space="preserve">. The training and evaluation of a SDM requires many steps, governing both its design and reporting</w:t>
      </w:r>
      <w:r>
        <w:t xml:space="preserve"> </w:t>
      </w:r>
      <w:r>
        <w:t xml:space="preserve">(Zurell et al. 2020)</w:t>
      </w:r>
      <w:r>
        <w:t xml:space="preserve"> </w:t>
      </w:r>
      <w:r>
        <w:t xml:space="preserve">and ultimate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 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w:t>
      </w:r>
    </w:p>
    <w:p>
      <w:pPr>
        <w:pStyle w:val="BodyText"/>
      </w:pPr>
      <w:r>
        <w:t xml:space="preserve">Because the practice of species distribution modeling and analysis usually involve many different data types, tools that can provide an integrated environment are important: many existing packages have been designed independently, and therefore may suffer when it comes to interoperability.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p>
    <w:p>
      <w:pPr>
        <w:pStyle w:val="BodyText"/>
      </w:pPr>
      <w:r>
        <w:t xml:space="preserve">previous pub</w:t>
      </w:r>
      <w:r>
        <w:t xml:space="preserve"> </w:t>
      </w:r>
      <w:r>
        <w:t xml:space="preserve">Dansereau and Poisot (2021)</w:t>
      </w:r>
    </w:p>
    <w:p>
      <w:pPr>
        <w:pStyle w:val="BodyText"/>
      </w:pPr>
      <w:r>
        <w:t xml:space="preserve">Griffith et al. (2024)</w:t>
      </w:r>
      <w:r>
        <w:t xml:space="preserve"> </w:t>
      </w:r>
      <w:r>
        <w:t xml:space="preserve">for large-scale SDM</w:t>
      </w:r>
    </w:p>
    <w:bookmarkEnd w:id="20"/>
    <w:bookmarkStart w:id="29"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 licensed under the open-source initiative approved MIT license. The package is registered in the</w:t>
      </w:r>
      <w:r>
        <w:t xml:space="preserve"> </w:t>
      </w:r>
      <w:r>
        <w:rPr>
          <w:b/>
          <w:bCs/>
        </w:rPr>
        <w:t xml:space="preserve">Julia</w:t>
      </w:r>
      <w:r>
        <w:t xml:space="preserve"> </w:t>
      </w:r>
      <w:r>
        <w:t xml:space="preserve">package repository and can be downloaded and installed anonymously. The full source and complete edition history is available at</w:t>
      </w:r>
      <w:r>
        <w:t xml:space="preserve"> </w:t>
      </w:r>
      <w:hyperlink r:id="rId21">
        <w:r>
          <w:rPr>
            <w:rStyle w:val="VerbatimChar"/>
          </w:rPr>
          <w:t xml:space="preserve">https://github.com/PoisotLab/SpeciesDistributionToolkit.jl</w:t>
        </w:r>
      </w:hyperlink>
      <w:r>
        <w:t xml:space="preserve">. This page has a link to the documentation, containing a full reference for the package functions, a series of briefs how-to examples, and longer vignettes showcasing more integrative examples.</w:t>
      </w:r>
    </w:p>
    <w:bookmarkStart w:id="26"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packages live. This allows expanding the scope of the package by moving functionalities into new component packages, without complexifying the installation process.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with:</w:t>
      </w:r>
    </w:p>
    <w:p>
      <w:pPr>
        <w:pStyle w:val="SourceCode"/>
      </w:pPr>
      <w:r>
        <w:rPr>
          <w:rStyle w:val="ImportTok"/>
        </w:rPr>
        <w:t xml:space="preserve">import</w:t>
      </w:r>
      <w:r>
        <w:rPr>
          <w:rStyle w:val="NormalTok"/>
        </w:rPr>
        <w:t xml:space="preserve"> </w:t>
      </w:r>
      <w:r>
        <w:rPr>
          <w:rStyle w:val="BuiltInTok"/>
        </w:rPr>
        <w:t xml:space="preserve">Pkg;</w:t>
      </w:r>
      <w:r>
        <w:rPr>
          <w:rStyle w:val="NormalTok"/>
        </w:rPr>
        <w:t xml:space="preserve"> Pkg.add("SpeciesDistributionToolkit")</w:t>
      </w:r>
    </w:p>
    <w:p>
      <w:pPr>
        <w:pStyle w:val="FirstParagraph"/>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749242"/>
                  <wp:effectExtent b="0" l="0" r="0" t="0"/>
                  <wp:docPr descr="" title="" id="23" name="Picture"/>
                  <a:graphic>
                    <a:graphicData uri="http://schemas.openxmlformats.org/drawingml/2006/picture">
                      <pic:pic>
                        <pic:nvPicPr>
                          <pic:cNvPr descr="figures/SDT.png" id="24" name="Picture"/>
                          <pic:cNvPicPr>
                            <a:picLocks noChangeArrowheads="1" noChangeAspect="1"/>
                          </pic:cNvPicPr>
                        </pic:nvPicPr>
                        <pic:blipFill>
                          <a:blip r:embed="rId22"/>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and their more specific content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w:t>
            </w:r>
          </w:p>
          <w:bookmarkEnd w:id="25"/>
        </w:tc>
      </w:tr>
    </w:tbl>
    <w:p>
      <w:pPr>
        <w:pStyle w:val="BodyText"/>
      </w:pPr>
      <w:r>
        <w:t xml:space="preserve">PA routines from</w:t>
      </w:r>
      <w:r>
        <w:t xml:space="preserve"> </w:t>
      </w:r>
      <w:r>
        <w:t xml:space="preserve">Barbet-Massin et al. (2012)</w:t>
      </w:r>
      <w:r>
        <w:t xml:space="preserve"> </w:t>
      </w:r>
      <w:r>
        <w:t xml:space="preserve">in</w:t>
      </w:r>
      <w:r>
        <w:t xml:space="preserve"> </w:t>
      </w:r>
      <w:r>
        <w:rPr>
          <w:b/>
          <w:bCs/>
        </w:rPr>
        <w:t xml:space="preserve">SDT</w:t>
      </w:r>
    </w:p>
    <w:p>
      <w:pPr>
        <w:pStyle w:val="BodyText"/>
      </w:pPr>
      <w:r>
        <w:rPr>
          <w:b/>
          <w:bCs/>
        </w:rPr>
        <w:t xml:space="preserve">GBIF</w:t>
      </w:r>
    </w:p>
    <w:p>
      <w:pPr>
        <w:pStyle w:val="BodyText"/>
      </w:pPr>
      <w:r>
        <w:rPr>
          <w:b/>
          <w:bCs/>
        </w:rPr>
        <w:t xml:space="preserve">SimpleSDMDatasets</w:t>
      </w:r>
    </w:p>
    <w:p>
      <w:pPr>
        <w:pStyle w:val="BodyText"/>
      </w:pPr>
      <w:r>
        <w:rPr>
          <w:b/>
          <w:bCs/>
        </w:rPr>
        <w:t xml:space="preserve">Phylopic</w:t>
      </w:r>
    </w:p>
    <w:p>
      <w:pPr>
        <w:pStyle w:val="BodyText"/>
      </w:pPr>
      <w:r>
        <w:rPr>
          <w:b/>
          <w:bCs/>
        </w:rPr>
        <w:t xml:space="preserve">OccurrencesInterface</w:t>
      </w:r>
    </w:p>
    <w:p>
      <w:pPr>
        <w:pStyle w:val="BodyText"/>
      </w:pPr>
      <w:r>
        <w:rPr>
          <w:b/>
          <w:bCs/>
        </w:rPr>
        <w:t xml:space="preserve">SimpleSDMLayers</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relative weight of intra and inter-specific distances conserva</w:t>
      </w:r>
    </w:p>
    <w:p>
      <w:pPr>
        <w:pStyle w:val="BodyText"/>
      </w:pPr>
      <w:r>
        <w:t xml:space="preserve">The</w:t>
      </w:r>
      <w:r>
        <w:t xml:space="preserve"> </w:t>
      </w:r>
      <w:r>
        <w:rPr>
          <w:b/>
          <w:bCs/>
        </w:rPr>
        <w:t xml:space="preserve">SDeMo</w:t>
      </w:r>
      <w:r>
        <w:t xml:space="preserve"> </w:t>
      </w:r>
      <w:r>
        <w:t xml:space="preserve">package is aimed at providing tools to use as part of training and education material on species distribution modeling. By providing a series of data transformation (PCA, Whitening, z-score) and classifiers (BIOCLIM, Naive Bayes, and decision trees), it offers the basic elements to demonstrate training and evaluation of SDMs, as well as techniques related to ensembles and bagging. In addition, to promote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and the generation of counterfactuals.</w:t>
      </w:r>
    </w:p>
    <w:bookmarkEnd w:id="26"/>
    <w:bookmarkStart w:id="27"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p>
      <w:pPr>
        <w:pStyle w:val="BodyText"/>
      </w:pPr>
      <w:r>
        <w:t xml:space="preserve">Kellner, Doser, and Belant (2025)</w:t>
      </w:r>
      <w:r>
        <w:t xml:space="preserve"> </w:t>
      </w:r>
      <w:r>
        <w:t xml:space="preserve">reported that about 20% of failures to reproduce species distribution or abundance modeling code was related to package issues. The strict reliance on semantic versioning, alongside technical choices in the</w:t>
      </w:r>
      <w:r>
        <w:t xml:space="preserve"> </w:t>
      </w:r>
      <w:r>
        <w:rPr>
          <w:b/>
          <w:bCs/>
        </w:rPr>
        <w:t xml:space="preserve">Julia</w:t>
      </w:r>
      <w:r>
        <w:t xml:space="preserve"> </w:t>
      </w:r>
      <w:r>
        <w:t xml:space="preserve">package manager and repository, means that it is possible to specify the full version of all dependencies used in a project, which addresses this important obstacle to reproducibility.</w:t>
      </w:r>
    </w:p>
    <w:bookmarkEnd w:id="27"/>
    <w:bookmarkStart w:id="28"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 Julia universe. Notably, this includes</w:t>
      </w:r>
      <w:r>
        <w:t xml:space="preserve"> </w:t>
      </w:r>
      <w:r>
        <w:rPr>
          <w:b/>
          <w:bCs/>
        </w:rPr>
        <w:t xml:space="preserve">Makie</w:t>
      </w:r>
      <w:r>
        <w:t xml:space="preserve"> </w:t>
      </w:r>
      <w:r>
        <w:t xml:space="preserve">(and all related backends) for plotting and data visualisation, where usual plot types are overloaded for layer and occurrence data. Most data 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Interfaces internal to Julia are also implemented whenever they make sense. Layers behave like arrays, are iterable, and broadcastable; occurrences collections are arrays and iterables.</w:t>
      </w:r>
    </w:p>
    <w:p>
      <w:pPr>
        <w:pStyle w:val="BodyText"/>
      </w:pPr>
      <w:r>
        <w:t xml:space="preserve">Beyond supporting external interfaces,</w:t>
      </w:r>
      <w:r>
        <w:t xml:space="preserve"> </w:t>
      </w:r>
      <w:r>
        <w:rPr>
          <w:b/>
          <w:bCs/>
        </w:rPr>
        <w:t xml:space="preserve">SDT</w:t>
      </w:r>
      <w:r>
        <w:t xml:space="preserve"> </w:t>
      </w:r>
      <w:r>
        <w:t xml:space="preserve">defines its own internally. Access to raster data is supported by a trait-based interface for</w:t>
      </w:r>
      <w:r>
        <w:t xml:space="preserve"> </w:t>
      </w:r>
      <w:r>
        <w:rPr>
          <w:b/>
          <w:bCs/>
        </w:rPr>
        <w:t xml:space="preserve">SimpleSDMDatasets</w:t>
      </w:r>
      <w:r>
        <w:t xml:space="preserve">.</w:t>
      </w:r>
    </w:p>
    <w:p>
      <w:pPr>
        <w:pStyle w:val="BodyText"/>
      </w:pPr>
      <w:r>
        <w:t xml:space="preserve">Internal use of other interfaces like</w:t>
      </w:r>
      <w:r>
        <w:t xml:space="preserve"> </w:t>
      </w:r>
      <w:r>
        <w:rPr>
          <w:b/>
          <w:bCs/>
        </w:rPr>
        <w:t xml:space="preserve">StatsAPI</w:t>
      </w:r>
      <w:r>
        <w:t xml:space="preserve"> </w:t>
      </w:r>
      <w:r>
        <w:t xml:space="preserve">in</w:t>
      </w:r>
      <w:r>
        <w:t xml:space="preserve"> </w:t>
      </w:r>
      <w:r>
        <w:rPr>
          <w:b/>
          <w:bCs/>
        </w:rPr>
        <w:t xml:space="preserve">SDeMo</w:t>
      </w:r>
    </w:p>
    <w:p>
      <w:pPr>
        <w:pStyle w:val="BodyText"/>
      </w:pPr>
      <w:r>
        <w:t xml:space="preserve">one of the component packages (</w:t>
      </w:r>
      <w:r>
        <w:rPr>
          <w:b/>
          <w:bCs/>
        </w:rPr>
        <w:t xml:space="preserve">OccurrencesInterface</w:t>
      </w:r>
      <w:r>
        <w:t xml:space="preserve">) implements a minimalist interface to facilite the consumption of occurrence data.</w:t>
      </w:r>
    </w:p>
    <w:bookmarkEnd w:id="28"/>
    <w:bookmarkEnd w:id="29"/>
    <w:bookmarkStart w:id="50"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and a host or orthohantaviruses</w:t>
      </w:r>
      <w:r>
        <w:t xml:space="preserve"> </w:t>
      </w:r>
      <w:r>
        <w:t xml:space="preserve">(Burgos et al. 2021; Owen et al. 2010)</w:t>
      </w:r>
      <w:r>
        <w:t xml:space="preserve">, in Paraguay. As the notebooks accompanying this article cover the full code required to run these examples, we do not present code snippets in the main text, and instead focus on explaining which component packages are used in each example.</w:t>
      </w:r>
    </w:p>
    <w:bookmarkStart w:id="34" w:name="landcover-consensus-map"/>
    <w:p>
      <w:pPr>
        <w:pStyle w:val="Heading2"/>
      </w:pPr>
      <w:r>
        <w:t xml:space="preserve">Landcover consensus map</w:t>
      </w:r>
    </w:p>
    <w:p>
      <w:pPr>
        <w:pStyle w:val="FirstParagraph"/>
      </w:pPr>
      <w:r>
        <w:t xml:space="preserve">In this case study,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w:t>
      </w:r>
    </w:p>
    <w:tbl>
      <w:tblPr>
        <w:tblStyle w:val="Table"/>
        <w:tblW w:type="pct" w:w="5000"/>
        <w:tblLayout w:type="fixed"/>
        <w:tblLook w:firstRow="0" w:lastRow="0" w:firstColumn="0" w:lastColumn="0" w:noHBand="0" w:noVBand="0" w:val="0000"/>
      </w:tblPr>
      <w:tblGrid>
        <w:gridCol w:w="7920"/>
      </w:tblGrid>
      <w:tr>
        <w:tc>
          <w:tcPr/>
          <w:bookmarkStart w:id="33" w:name="fig-landcover-consensus"/>
          <w:p>
            <w:pPr>
              <w:pStyle w:val="Compact"/>
              <w:jc w:val="center"/>
            </w:pPr>
            <w:r>
              <w:drawing>
                <wp:inline>
                  <wp:extent cx="5334000" cy="4000500"/>
                  <wp:effectExtent b="0" l="0" r="0" t="0"/>
                  <wp:docPr descr="" title="" id="31" name="Picture"/>
                  <a:graphic>
                    <a:graphicData uri="http://schemas.openxmlformats.org/drawingml/2006/picture">
                      <pic:pic>
                        <pic:nvPicPr>
                          <pic:cNvPr descr="index_files/figure-docx/appendix-consensus-fig-landcover-consensus-output-1.png" id="32"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yeah</w:t>
            </w:r>
          </w:p>
          <w:bookmarkEnd w:id="33"/>
        </w:tc>
      </w:tr>
    </w:tbl>
    <w:bookmarkEnd w:id="34"/>
    <w:bookmarkStart w:id="39" w:name="using-data-from-gbif"/>
    <w:p>
      <w:pPr>
        <w:pStyle w:val="Heading2"/>
      </w:pPr>
      <w:r>
        <w:t xml:space="preserve">Using data from GBIF</w:t>
      </w:r>
    </w:p>
    <w:p>
      <w:pPr>
        <w:pStyle w:val="FirstParagraph"/>
      </w:pPr>
      <w:r>
        <w:t xml:space="preserve">(GBIF: The Global Biodiversity Information Facility 2025)</w:t>
      </w:r>
    </w:p>
    <w:p>
      <w:pPr>
        <w:pStyle w:val="BodyText"/>
      </w:pPr>
      <w:r>
        <w:t xml:space="preserve">(Karger et al. 2017)</w:t>
      </w:r>
    </w:p>
    <w:tbl>
      <w:tblPr>
        <w:tblStyle w:val="Table"/>
        <w:tblW w:type="pct" w:w="5000"/>
        <w:tblLayout w:type="fixed"/>
        <w:tblLook w:firstRow="0" w:lastRow="0" w:firstColumn="0" w:lastColumn="0" w:noHBand="0" w:noVBand="0" w:val="0000"/>
      </w:tblPr>
      <w:tblGrid>
        <w:gridCol w:w="7920"/>
      </w:tblGrid>
      <w:tr>
        <w:tc>
          <w:tcPr/>
          <w:bookmarkStart w:id="38" w:name="fig-gbif-phylopic"/>
          <w:p>
            <w:pPr>
              <w:pStyle w:val="Compact"/>
              <w:jc w:val="center"/>
            </w:pPr>
            <w:r>
              <w:drawing>
                <wp:inline>
                  <wp:extent cx="5334000" cy="5334000"/>
                  <wp:effectExtent b="0" l="0" r="0" t="0"/>
                  <wp:docPr descr="" title="" id="36" name="Picture"/>
                  <a:graphic>
                    <a:graphicData uri="http://schemas.openxmlformats.org/drawingml/2006/picture">
                      <pic:pic>
                        <pic:nvPicPr>
                          <pic:cNvPr descr="index_files/figure-docx/appendix-gbif-fig-gbif-phylopic-output-1.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yeah</w:t>
            </w:r>
          </w:p>
          <w:bookmarkEnd w:id="38"/>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9"/>
    <w:bookmarkStart w:id="44" w:name="training-a-species-distribution-model"/>
    <w:p>
      <w:pPr>
        <w:pStyle w:val="Heading2"/>
      </w:pPr>
      <w:r>
        <w:t xml:space="preserve">Training a species distribution model</w:t>
      </w:r>
    </w:p>
    <w:p>
      <w:pPr>
        <w:pStyle w:val="FirstParagraph"/>
      </w:pPr>
      <w:r>
        <w:t xml:space="preserve">(Bagnall et al. 2018)</w:t>
      </w:r>
    </w:p>
    <w:tbl>
      <w:tblPr>
        <w:tblStyle w:val="Table"/>
        <w:tblW w:type="pct" w:w="5000"/>
        <w:tblLayout w:type="fixed"/>
        <w:tblLook w:firstRow="0" w:lastRow="0" w:firstColumn="0" w:lastColumn="0" w:noHBand="0" w:noVBand="0" w:val="0000"/>
      </w:tblPr>
      <w:tblGrid>
        <w:gridCol w:w="7920"/>
      </w:tblGrid>
      <w:tr>
        <w:tc>
          <w:tcPr/>
          <w:bookmarkStart w:id="43" w:name="fig-sdm-output"/>
          <w:p>
            <w:pPr>
              <w:pStyle w:val="Compact"/>
              <w:jc w:val="center"/>
            </w:pPr>
            <w:r>
              <w:drawing>
                <wp:inline>
                  <wp:extent cx="5334000" cy="4000499"/>
                  <wp:effectExtent b="0" l="0" r="0" t="0"/>
                  <wp:docPr descr="" title="" id="41" name="Picture"/>
                  <a:graphic>
                    <a:graphicData uri="http://schemas.openxmlformats.org/drawingml/2006/picture">
                      <pic:pic>
                        <pic:nvPicPr>
                          <pic:cNvPr descr="index_files/figure-docx/appendix-sdm-fig-sdm-output-output-1.png" id="42" name="Picture"/>
                          <pic:cNvPicPr>
                            <a:picLocks noChangeArrowheads="1" noChangeAspect="1"/>
                          </pic:cNvPicPr>
                        </pic:nvPicPr>
                        <pic:blipFill>
                          <a:blip r:embed="rId40"/>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also yeah</w:t>
            </w:r>
          </w:p>
          <w:bookmarkEnd w:id="43"/>
        </w:tc>
      </w:tr>
    </w:tbl>
    <w:bookmarkEnd w:id="44"/>
    <w:bookmarkStart w:id="49" w:name="X6a79aaf1890048ec83f6c71e7ec458b8e02ff57"/>
    <w:p>
      <w:pPr>
        <w:pStyle w:val="Heading2"/>
      </w:pPr>
      <w:r>
        <w:t xml:space="preserve">Generating the distribution of a virtual species</w:t>
      </w:r>
    </w:p>
    <w:p>
      <w:pPr>
        <w:pStyle w:val="FirstParagraph"/>
      </w:pPr>
      <w:r>
        <w:t xml:space="preserve">(Leroy et al. 2016)</w:t>
      </w:r>
    </w:p>
    <w:tbl>
      <w:tblPr>
        <w:tblStyle w:val="Table"/>
        <w:tblW w:type="pct" w:w="5000"/>
        <w:tblLayout w:type="fixed"/>
        <w:tblLook w:firstRow="0" w:lastRow="0" w:firstColumn="0" w:lastColumn="0" w:noHBand="0" w:noVBand="0" w:val="0000"/>
      </w:tblPr>
      <w:tblGrid>
        <w:gridCol w:w="7920"/>
      </w:tblGrid>
      <w:tr>
        <w:tc>
          <w:tcPr/>
          <w:bookmarkStart w:id="48" w:name="fig-virtual-species"/>
          <w:p>
            <w:pPr>
              <w:pStyle w:val="Compact"/>
              <w:jc w:val="center"/>
            </w:pPr>
            <w:r>
              <w:drawing>
                <wp:inline>
                  <wp:extent cx="5334000" cy="5334000"/>
                  <wp:effectExtent b="0" l="0" r="0" t="0"/>
                  <wp:docPr descr="" title="" id="46" name="Picture"/>
                  <a:graphic>
                    <a:graphicData uri="http://schemas.openxmlformats.org/drawingml/2006/picture">
                      <pic:pic>
                        <pic:nvPicPr>
                          <pic:cNvPr descr="index_files/figure-docx/appendix-virtualspecies-fig-virtual-species-output-1.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yeah</w:t>
            </w:r>
          </w:p>
          <w:bookmarkEnd w:id="48"/>
        </w:tc>
      </w:tr>
    </w:tbl>
    <w:bookmarkEnd w:id="49"/>
    <w:bookmarkEnd w:id="50"/>
    <w:bookmarkStart w:id="90" w:name="references"/>
    <w:p>
      <w:pPr>
        <w:pStyle w:val="Heading1"/>
      </w:pPr>
      <w:r>
        <w:t xml:space="preserve">References</w:t>
      </w:r>
    </w:p>
    <w:bookmarkStart w:id="89" w:name="refs"/>
    <w:bookmarkStart w:id="52"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1">
        <w:r>
          <w:rPr>
            <w:rStyle w:val="Hyperlink"/>
          </w:rPr>
          <w:t xml:space="preserve">https://doi.org/10.1126/sciadv.aat4858</w:t>
        </w:r>
      </w:hyperlink>
      <w:r>
        <w:t xml:space="preserve">.</w:t>
      </w:r>
    </w:p>
    <w:bookmarkEnd w:id="52"/>
    <w:bookmarkStart w:id="53"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3"/>
    <w:bookmarkStart w:id="55"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4">
        <w:r>
          <w:rPr>
            <w:rStyle w:val="Hyperlink"/>
          </w:rPr>
          <w:t xml:space="preserve">https://doi.org/10.1111/j.2041-210x.2011.00172.x</w:t>
        </w:r>
      </w:hyperlink>
      <w:r>
        <w:t xml:space="preserve">.</w:t>
      </w:r>
    </w:p>
    <w:bookmarkEnd w:id="55"/>
    <w:bookmarkStart w:id="57"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56">
        <w:r>
          <w:rPr>
            <w:rStyle w:val="Hyperlink"/>
          </w:rPr>
          <w:t xml:space="preserve">https://doi.org/10.1007/s10393-021-01564-6</w:t>
        </w:r>
      </w:hyperlink>
      <w:r>
        <w:t xml:space="preserve">.</w:t>
      </w:r>
    </w:p>
    <w:bookmarkEnd w:id="57"/>
    <w:bookmarkStart w:id="59"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58">
        <w:r>
          <w:rPr>
            <w:rStyle w:val="Hyperlink"/>
          </w:rPr>
          <w:t xml:space="preserve">https://doi.org/10.21105/joss.02872</w:t>
        </w:r>
      </w:hyperlink>
      <w:r>
        <w:t xml:space="preserve">.</w:t>
      </w:r>
    </w:p>
    <w:bookmarkEnd w:id="59"/>
    <w:bookmarkStart w:id="61"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60">
        <w:r>
          <w:rPr>
            <w:rStyle w:val="Hyperlink"/>
          </w:rPr>
          <w:t xml:space="preserve">https://doi.org/10.1016/j.ecolmodel.2004.12.007</w:t>
        </w:r>
      </w:hyperlink>
      <w:r>
        <w:t xml:space="preserve">.</w:t>
      </w:r>
    </w:p>
    <w:bookmarkEnd w:id="61"/>
    <w:bookmarkStart w:id="63"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62">
        <w:r>
          <w:rPr>
            <w:rStyle w:val="Hyperlink"/>
          </w:rPr>
          <w:t xml:space="preserve">https://doi.org/10.1146/annurev.ecolsys.110308.120159</w:t>
        </w:r>
      </w:hyperlink>
      <w:r>
        <w:t xml:space="preserve">.</w:t>
      </w:r>
    </w:p>
    <w:bookmarkEnd w:id="63"/>
    <w:bookmarkStart w:id="64"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64"/>
    <w:bookmarkStart w:id="66"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65">
        <w:r>
          <w:rPr>
            <w:rStyle w:val="Hyperlink"/>
          </w:rPr>
          <w:t xml:space="preserve">https://doi.org/10.32942/X2M320</w:t>
        </w:r>
      </w:hyperlink>
      <w:r>
        <w:t xml:space="preserve">.</w:t>
      </w:r>
    </w:p>
    <w:bookmarkEnd w:id="66"/>
    <w:bookmarkStart w:id="68"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67">
        <w:r>
          <w:rPr>
            <w:rStyle w:val="Hyperlink"/>
          </w:rPr>
          <w:t xml:space="preserve">https://doi.org/10.1038/sdata.2017.122</w:t>
        </w:r>
      </w:hyperlink>
      <w:r>
        <w:t xml:space="preserve">.</w:t>
      </w:r>
    </w:p>
    <w:bookmarkEnd w:id="68"/>
    <w:bookmarkStart w:id="70"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69">
        <w:r>
          <w:rPr>
            <w:rStyle w:val="Hyperlink"/>
          </w:rPr>
          <w:t xml:space="preserve">https://doi.org/10.1111/ecog.07346</w:t>
        </w:r>
      </w:hyperlink>
      <w:r>
        <w:t xml:space="preserve">.</w:t>
      </w:r>
    </w:p>
    <w:bookmarkEnd w:id="70"/>
    <w:bookmarkStart w:id="72"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71">
        <w:r>
          <w:rPr>
            <w:rStyle w:val="Hyperlink"/>
          </w:rPr>
          <w:t xml:space="preserve">https://doi.org/10.1002/ecy.4475</w:t>
        </w:r>
      </w:hyperlink>
      <w:r>
        <w:t xml:space="preserve">.</w:t>
      </w:r>
    </w:p>
    <w:bookmarkEnd w:id="72"/>
    <w:bookmarkStart w:id="74"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73">
        <w:r>
          <w:rPr>
            <w:rStyle w:val="Hyperlink"/>
          </w:rPr>
          <w:t xml:space="preserve">https://doi.org/10.1111/ecog.01388</w:t>
        </w:r>
      </w:hyperlink>
      <w:r>
        <w:t xml:space="preserve">.</w:t>
      </w:r>
    </w:p>
    <w:bookmarkEnd w:id="74"/>
    <w:bookmarkStart w:id="76"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75">
        <w:r>
          <w:rPr>
            <w:rStyle w:val="Hyperlink"/>
          </w:rPr>
          <w:t xml:space="preserve">https://doi.org/10.1111/ddi.12209</w:t>
        </w:r>
      </w:hyperlink>
      <w:r>
        <w:t xml:space="preserve">.</w:t>
      </w:r>
    </w:p>
    <w:bookmarkEnd w:id="76"/>
    <w:bookmarkStart w:id="78"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77">
        <w:r>
          <w:rPr>
            <w:rStyle w:val="Hyperlink"/>
          </w:rPr>
          <w:t xml:space="preserve">https://doi.org/10.1111/ecog.05880</w:t>
        </w:r>
      </w:hyperlink>
      <w:r>
        <w:t xml:space="preserve">.</w:t>
      </w:r>
    </w:p>
    <w:bookmarkEnd w:id="78"/>
    <w:bookmarkStart w:id="80"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79">
        <w:r>
          <w:rPr>
            <w:rStyle w:val="Hyperlink"/>
          </w:rPr>
          <w:t xml:space="preserve">https://doi.org/10.1644/09-MAMM-A-152.1</w:t>
        </w:r>
      </w:hyperlink>
      <w:r>
        <w:t xml:space="preserve">.</w:t>
      </w:r>
    </w:p>
    <w:bookmarkEnd w:id="80"/>
    <w:bookmarkStart w:id="82"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81">
        <w:r>
          <w:rPr>
            <w:rStyle w:val="Hyperlink"/>
          </w:rPr>
          <w:t xml:space="preserve">https://doi.org/10.1111/geb.12182</w:t>
        </w:r>
      </w:hyperlink>
      <w:r>
        <w:t xml:space="preserve">.</w:t>
      </w:r>
    </w:p>
    <w:bookmarkEnd w:id="82"/>
    <w:bookmarkStart w:id="84"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83">
        <w:r>
          <w:rPr>
            <w:rStyle w:val="Hyperlink"/>
          </w:rPr>
          <w:t xml:space="preserve">https://doi.org/10.5194/soil-9-21-2023</w:t>
        </w:r>
      </w:hyperlink>
      <w:r>
        <w:t xml:space="preserve">.</w:t>
      </w:r>
    </w:p>
    <w:bookmarkEnd w:id="84"/>
    <w:bookmarkStart w:id="86"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85">
        <w:r>
          <w:rPr>
            <w:rStyle w:val="Hyperlink"/>
          </w:rPr>
          <w:t xml:space="preserve">https://doi.org/10.1111/j.1472-4642.2012.00887.x</w:t>
        </w:r>
      </w:hyperlink>
      <w:r>
        <w:t xml:space="preserve">.</w:t>
      </w:r>
    </w:p>
    <w:bookmarkEnd w:id="86"/>
    <w:bookmarkStart w:id="88"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87">
        <w:r>
          <w:rPr>
            <w:rStyle w:val="Hyperlink"/>
          </w:rPr>
          <w:t xml:space="preserve">https://doi.org/10.1111/ecog.04960</w:t>
        </w:r>
      </w:hyperlink>
      <w:r>
        <w:t xml:space="preserve">.</w:t>
      </w:r>
    </w:p>
    <w:bookmarkEnd w:id="88"/>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71" Target="https://doi.org/10.1002/ecy.4475" TargetMode="External" /><Relationship Type="http://schemas.openxmlformats.org/officeDocument/2006/relationships/hyperlink" Id="rId56" Target="https://doi.org/10.1007/s10393-021-01564-6" TargetMode="External" /><Relationship Type="http://schemas.openxmlformats.org/officeDocument/2006/relationships/hyperlink" Id="rId60" Target="https://doi.org/10.1016/j.ecolmodel.2004.12.007" TargetMode="External" /><Relationship Type="http://schemas.openxmlformats.org/officeDocument/2006/relationships/hyperlink" Id="rId67" Target="https://doi.org/10.1038/sdata.2017.122" TargetMode="External" /><Relationship Type="http://schemas.openxmlformats.org/officeDocument/2006/relationships/hyperlink" Id="rId75" Target="https://doi.org/10.1111/ddi.12209" TargetMode="External" /><Relationship Type="http://schemas.openxmlformats.org/officeDocument/2006/relationships/hyperlink" Id="rId73" Target="https://doi.org/10.1111/ecog.01388" TargetMode="External" /><Relationship Type="http://schemas.openxmlformats.org/officeDocument/2006/relationships/hyperlink" Id="rId87" Target="https://doi.org/10.1111/ecog.04960" TargetMode="External" /><Relationship Type="http://schemas.openxmlformats.org/officeDocument/2006/relationships/hyperlink" Id="rId77" Target="https://doi.org/10.1111/ecog.05880" TargetMode="External" /><Relationship Type="http://schemas.openxmlformats.org/officeDocument/2006/relationships/hyperlink" Id="rId69" Target="https://doi.org/10.1111/ecog.07346" TargetMode="External" /><Relationship Type="http://schemas.openxmlformats.org/officeDocument/2006/relationships/hyperlink" Id="rId81" Target="https://doi.org/10.1111/geb.12182" TargetMode="External" /><Relationship Type="http://schemas.openxmlformats.org/officeDocument/2006/relationships/hyperlink" Id="rId85" Target="https://doi.org/10.1111/j.1472-4642.2012.00887.x" TargetMode="External" /><Relationship Type="http://schemas.openxmlformats.org/officeDocument/2006/relationships/hyperlink" Id="rId54" Target="https://doi.org/10.1111/j.2041-210x.2011.00172.x" TargetMode="External" /><Relationship Type="http://schemas.openxmlformats.org/officeDocument/2006/relationships/hyperlink" Id="rId51" Target="https://doi.org/10.1126/sciadv.aat4858" TargetMode="External" /><Relationship Type="http://schemas.openxmlformats.org/officeDocument/2006/relationships/hyperlink" Id="rId62" Target="https://doi.org/10.1146/annurev.ecolsys.110308.120159" TargetMode="External" /><Relationship Type="http://schemas.openxmlformats.org/officeDocument/2006/relationships/hyperlink" Id="rId79" Target="https://doi.org/10.1644/09-MAMM-A-152.1" TargetMode="External" /><Relationship Type="http://schemas.openxmlformats.org/officeDocument/2006/relationships/hyperlink" Id="rId58" Target="https://doi.org/10.21105/joss.02872" TargetMode="External" /><Relationship Type="http://schemas.openxmlformats.org/officeDocument/2006/relationships/hyperlink" Id="rId65" Target="https://doi.org/10.32942/X2M320" TargetMode="External" /><Relationship Type="http://schemas.openxmlformats.org/officeDocument/2006/relationships/hyperlink" Id="rId83" Target="https://doi.org/10.5194/soil-9-21-2023"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71" Target="https://doi.org/10.1002/ecy.4475" TargetMode="External" /><Relationship Type="http://schemas.openxmlformats.org/officeDocument/2006/relationships/hyperlink" Id="rId56" Target="https://doi.org/10.1007/s10393-021-01564-6" TargetMode="External" /><Relationship Type="http://schemas.openxmlformats.org/officeDocument/2006/relationships/hyperlink" Id="rId60" Target="https://doi.org/10.1016/j.ecolmodel.2004.12.007" TargetMode="External" /><Relationship Type="http://schemas.openxmlformats.org/officeDocument/2006/relationships/hyperlink" Id="rId67" Target="https://doi.org/10.1038/sdata.2017.122" TargetMode="External" /><Relationship Type="http://schemas.openxmlformats.org/officeDocument/2006/relationships/hyperlink" Id="rId75" Target="https://doi.org/10.1111/ddi.12209" TargetMode="External" /><Relationship Type="http://schemas.openxmlformats.org/officeDocument/2006/relationships/hyperlink" Id="rId73" Target="https://doi.org/10.1111/ecog.01388" TargetMode="External" /><Relationship Type="http://schemas.openxmlformats.org/officeDocument/2006/relationships/hyperlink" Id="rId87" Target="https://doi.org/10.1111/ecog.04960" TargetMode="External" /><Relationship Type="http://schemas.openxmlformats.org/officeDocument/2006/relationships/hyperlink" Id="rId77" Target="https://doi.org/10.1111/ecog.05880" TargetMode="External" /><Relationship Type="http://schemas.openxmlformats.org/officeDocument/2006/relationships/hyperlink" Id="rId69" Target="https://doi.org/10.1111/ecog.07346" TargetMode="External" /><Relationship Type="http://schemas.openxmlformats.org/officeDocument/2006/relationships/hyperlink" Id="rId81" Target="https://doi.org/10.1111/geb.12182" TargetMode="External" /><Relationship Type="http://schemas.openxmlformats.org/officeDocument/2006/relationships/hyperlink" Id="rId85" Target="https://doi.org/10.1111/j.1472-4642.2012.00887.x" TargetMode="External" /><Relationship Type="http://schemas.openxmlformats.org/officeDocument/2006/relationships/hyperlink" Id="rId54" Target="https://doi.org/10.1111/j.2041-210x.2011.00172.x" TargetMode="External" /><Relationship Type="http://schemas.openxmlformats.org/officeDocument/2006/relationships/hyperlink" Id="rId51" Target="https://doi.org/10.1126/sciadv.aat4858" TargetMode="External" /><Relationship Type="http://schemas.openxmlformats.org/officeDocument/2006/relationships/hyperlink" Id="rId62" Target="https://doi.org/10.1146/annurev.ecolsys.110308.120159" TargetMode="External" /><Relationship Type="http://schemas.openxmlformats.org/officeDocument/2006/relationships/hyperlink" Id="rId79" Target="https://doi.org/10.1644/09-MAMM-A-152.1" TargetMode="External" /><Relationship Type="http://schemas.openxmlformats.org/officeDocument/2006/relationships/hyperlink" Id="rId58" Target="https://doi.org/10.21105/joss.02872" TargetMode="External" /><Relationship Type="http://schemas.openxmlformats.org/officeDocument/2006/relationships/hyperlink" Id="rId65" Target="https://doi.org/10.32942/X2M320" TargetMode="External" /><Relationship Type="http://schemas.openxmlformats.org/officeDocument/2006/relationships/hyperlink" Id="rId83" Target="https://doi.org/10.5194/soil-9-21-2023"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
  <dcterms:created xsi:type="dcterms:W3CDTF">2025-02-11T21:50:10Z</dcterms:created>
  <dcterms:modified xsi:type="dcterms:W3CDTF">2025-02-11T21:50:10Z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LATER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