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0.png" ContentType="image/png"/>
  <Override PartName="/word/media/rId40.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 are one of the most effective predictive approaches to study the global distribution of biodiversity</w:t>
      </w:r>
      <w:r>
        <w:t xml:space="preserve"> </w:t>
      </w:r>
      <w:r>
        <w:t xml:space="preserve">(Elith and Leathwick 2009)</w:t>
      </w:r>
      <w:r>
        <w:t xml:space="preserve">. The training and evaluation of a SDM requires many steps, governing both design and reporting</w:t>
      </w:r>
      <w:r>
        <w:t xml:space="preserve"> </w:t>
      </w:r>
      <w:r>
        <w:t xml:space="preserve">(Zurell et al. 2020)</w:t>
      </w:r>
      <w:r>
        <w:t xml:space="preserve">, and ultimately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 However, because the practice of species distribution modeling and validation often involves diverse data types from different sources, many existing packages have been designed independently, and therefore may suffer with interoperability when attempting to use them together. As</w:t>
      </w:r>
      <w:r>
        <w:t xml:space="preserve"> </w:t>
      </w:r>
      <w:r>
        <w:t xml:space="preserve">Kellner, Doser, and Belant (2025)</w:t>
      </w:r>
      <w:r>
        <w:t xml:space="preserve"> </w:t>
      </w:r>
      <w:r>
        <w:t xml:space="preserve">highlight, about 20% of publications for abundance or distribution models are not reproducible because of issues in package dependencies.</w:t>
      </w:r>
    </w:p>
    <w:p>
      <w:pPr>
        <w:pStyle w:val="BodyText"/>
      </w:pPr>
      <w:r>
        <w:t xml:space="preserve">As a result, tools that can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 A leading design consideration for</w:t>
      </w:r>
      <w:r>
        <w:t xml:space="preserve"> </w:t>
      </w:r>
      <w:r>
        <w:rPr>
          <w:b/>
          <w:bCs/>
        </w:rPr>
        <w:t xml:space="preserve">SDT</w:t>
      </w:r>
      <w:r>
        <w:t xml:space="preserve"> </w:t>
      </w:r>
      <w:r>
        <w:t xml:space="preserve">was to enable interoperability from the ground up, both by relying on strict semantic versioning, but also through the use of</w:t>
      </w:r>
      <w:r>
        <w:t xml:space="preserve"> </w:t>
      </w:r>
      <w:r>
        <w:rPr>
          <w:i/>
          <w:iCs/>
        </w:rPr>
        <w:t xml:space="preserve">interfaces</w:t>
      </w:r>
      <w:r>
        <w:t xml:space="preserve"> </w:t>
      </w:r>
      <w:r>
        <w:t xml:space="preserve">(which allow two separate software components to interact, without knowing anything about the other component functions), rather than</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The</w:t>
      </w:r>
      <w:r>
        <w:t xml:space="preserve"> </w:t>
      </w:r>
      <w:r>
        <w:rPr>
          <w:b/>
          <w:bCs/>
        </w:rPr>
        <w:t xml:space="preserve">SDT</w:t>
      </w:r>
      <w:r>
        <w:t xml:space="preserve"> </w:t>
      </w:r>
      <w:r>
        <w:t xml:space="preserve">package is seeing increased adoption, and is now used as part of the BON-in-a-Box project</w:t>
      </w:r>
      <w:r>
        <w:t xml:space="preserve"> </w:t>
      </w:r>
      <w:r>
        <w:t xml:space="preserve">(Griffith et al. 2024)</w:t>
      </w:r>
      <w:r>
        <w:t xml:space="preserve">, which seeks to facilitate the calculation and reporting of biodiversity indicators supporting the Kunming-Montréal Global Biodiversity Framework, to remove barriers to biodiversity data analysis</w:t>
      </w:r>
      <w:r>
        <w:t xml:space="preserve"> </w:t>
      </w:r>
      <w:r>
        <w:t xml:space="preserve">(Gonzalez et al. 2023)</w:t>
      </w:r>
      <w:r>
        <w:t xml:space="preserve">. In this manuscript, we describe (i) the high-level functionalities of the package, (ii) core design principles that facilitate long-term maintenance and development, and (iii) illustrative case studies with fully reproducible Jupyter notebooks.</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separate, but interoperable, packages live. This allows expanding the scope of the package by moving functionalities into new component packages, without complicating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via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in the future without affecting reproducability.</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w:t>
      </w:r>
      <w:r>
        <w:t xml:space="preserve"> </w:t>
      </w:r>
      <w:r>
        <w:rPr>
          <w:b/>
          <w:bCs/>
        </w:rPr>
        <w:t xml:space="preserve">OccurrencesInterface</w:t>
      </w:r>
      <w:r>
        <w:t xml:space="preserve"> </w:t>
      </w:r>
      <w:r>
        <w:t xml:space="preserve">interface,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and the generation of counterfactuals</w:t>
      </w:r>
      <w:r>
        <w:t xml:space="preserve"> </w:t>
      </w:r>
      <w:r>
        <w:t xml:space="preserve">Karimi et al. (2019)</w:t>
      </w:r>
      <w:r>
        <w:t xml:space="preserve">.</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(and all related backends, with support for</w:t>
      </w:r>
      <w:r>
        <w:t xml:space="preserve"> </w:t>
      </w:r>
      <w:r>
        <w:rPr>
          <w:b/>
          <w:bCs/>
        </w:rPr>
        <w:t xml:space="preserve">GeoMakie</w:t>
      </w:r>
      <w:r>
        <w:t xml:space="preserve">) for plotting and interactive data visualisation, where usual plot types are overloaded for both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or directly saved as csv files.</w:t>
      </w:r>
    </w:p>
    <w:p>
      <w:pPr>
        <w:pStyle w:val="BodyText"/>
      </w:pPr>
      <w:r>
        <w:t xml:space="preserve">Interfaces to internal</w:t>
      </w:r>
      <w:r>
        <w:t xml:space="preserve"> </w:t>
      </w:r>
      <w:r>
        <w:rPr>
          <w:b/>
          <w:bCs/>
        </w:rPr>
        <w:t xml:space="preserve">Julia</w:t>
      </w:r>
      <w:r>
        <w:t xml:space="preserve"> </w:t>
      </w:r>
      <w:r>
        <w:t xml:space="preserve">methods are also implemented whenever they are pertinent. In particular,</w:t>
      </w:r>
      <w:r>
        <w:t xml:space="preserve"> </w:t>
      </w:r>
      <w:r>
        <w:rPr>
          <w:b/>
          <w:bCs/>
        </w:rPr>
        <w:t xml:space="preserve">SimpleSDMLayers</w:t>
      </w:r>
      <w:r>
        <w:t xml:space="preserve"> </w:t>
      </w:r>
      <w:r>
        <w:t xml:space="preserve">objects behave like arrays, are iterable, and broadcastable; objects from</w:t>
      </w:r>
      <w:r>
        <w:t xml:space="preserve"> </w:t>
      </w:r>
      <w:r>
        <w:rPr>
          <w:b/>
          <w:bCs/>
        </w:rPr>
        <w:t xml:space="preserve">OccurrencesInterface</w:t>
      </w:r>
      <w:r>
        <w:t xml:space="preserve"> </w:t>
      </w:r>
      <w:r>
        <w:t xml:space="preserve">behave as arrays and are similarly iterable. The</w:t>
      </w:r>
      <w:r>
        <w:t xml:space="preserve"> </w:t>
      </w:r>
      <w:r>
        <w:rPr>
          <w:b/>
          <w:bCs/>
        </w:rPr>
        <w:t xml:space="preserve">SDeMo</w:t>
      </w:r>
      <w:r>
        <w:t xml:space="preserve"> </w:t>
      </w:r>
      <w:r>
        <w:t xml:space="preserve">package relies on part of the</w:t>
      </w:r>
      <w:r>
        <w:t xml:space="preserve"> </w:t>
      </w:r>
      <w:r>
        <w:rPr>
          <w:b/>
          <w:bCs/>
        </w:rPr>
        <w:t xml:space="preserve">StatsAPI</w:t>
      </w:r>
      <w:r>
        <w:t xml:space="preserve"> </w:t>
      </w:r>
      <w:r>
        <w:t xml:space="preserve">interface, allowing to easily define new data transformation and classifier types to support additional features.</w:t>
      </w:r>
    </w:p>
    <w:p>
      <w:pPr>
        <w:pStyle w:val="BodyText"/>
      </w:pPr>
      <w:r>
        <w:t xml:space="preserve">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End w:id="28"/>
    <w:bookmarkEnd w:id="29"/>
    <w:bookmarkStart w:id="54"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4"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3" w:name="fig-gbif-phylopic"/>
          <w:p>
            <w:pPr>
              <w:pStyle w:val="Compact"/>
              <w:jc w:val="center"/>
            </w:pPr>
            <w:r>
              <w:drawing>
                <wp:inline>
                  <wp:extent cx="5334000" cy="3556000"/>
                  <wp:effectExtent b="0" l="0" r="0" t="0"/>
                  <wp:docPr descr="" title="" id="31" name="Picture"/>
                  <a:graphic>
                    <a:graphicData uri="http://schemas.openxmlformats.org/drawingml/2006/picture">
                      <pic:pic>
                        <pic:nvPicPr>
                          <pic:cNvPr descr="index_files/figure-docx/appendix-gbif-fig-gbif-phylopic-output-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3"/>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4"/>
    <w:bookmarkStart w:id="39"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landcover-consensus"/>
          <w:p>
            <w:pPr>
              <w:pStyle w:val="Compact"/>
              <w:jc w:val="center"/>
            </w:pPr>
            <w:r>
              <w:drawing>
                <wp:inline>
                  <wp:extent cx="5334000" cy="7112000"/>
                  <wp:effectExtent b="0" l="0" r="0" t="0"/>
                  <wp:docPr descr="" title="" id="36" name="Picture"/>
                  <a:graphic>
                    <a:graphicData uri="http://schemas.openxmlformats.org/drawingml/2006/picture">
                      <pic:pic>
                        <pic:nvPicPr>
                          <pic:cNvPr descr="index_files/figure-docx/appendix-consensus-fig-landcover-consensus-output-1.png" id="37"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8"/>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9"/>
    <w:bookmarkStart w:id="48"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5334000"/>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3"/>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as well as the (Monte-Carlo) Shapley values for each prediction in the training set. Because</w:t>
      </w:r>
      <w:r>
        <w:t xml:space="preserve"> </w:t>
      </w:r>
      <w:r>
        <w:rPr>
          <w:b/>
          <w:bCs/>
        </w:rPr>
        <w:t xml:space="preserve">SDeMo</w:t>
      </w:r>
      <w:r>
        <w:t xml:space="preserve"> </w:t>
      </w:r>
      <w:r>
        <w:t xml:space="preserve">works through generic functions, these methods can be applied to any model specified by the user.</w:t>
      </w:r>
    </w:p>
    <w:tbl>
      <w:tblPr>
        <w:tblStyle w:val="Table"/>
        <w:tblW w:type="pct" w:w="5000"/>
        <w:tblLayout w:type="fixed"/>
        <w:tblLook w:firstRow="0" w:lastRow="0" w:firstColumn="0" w:lastColumn="0" w:noHBand="0" w:noVBand="0" w:val="0000"/>
      </w:tblPr>
      <w:tblGrid>
        <w:gridCol w:w="7920"/>
      </w:tblGrid>
      <w:tr>
        <w:tc>
          <w:tcPr/>
          <w:bookmarkStart w:id="47" w:name="fig-sdm-responses"/>
          <w:p>
            <w:pPr>
              <w:pStyle w:val="Compact"/>
              <w:jc w:val="center"/>
            </w:pPr>
            <w:r>
              <w:drawing>
                <wp:inline>
                  <wp:extent cx="5334000" cy="3556000"/>
                  <wp:effectExtent b="0" l="0" r="0" t="0"/>
                  <wp:docPr descr="" title="" id="45" name="Picture"/>
                  <a:graphic>
                    <a:graphicData uri="http://schemas.openxmlformats.org/drawingml/2006/picture">
                      <pic:pic>
                        <pic:nvPicPr>
                          <pic:cNvPr descr="index_files/figure-docx/appendix-sdm-fig-sdm-responses-output-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(black)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7"/>
        </w:tc>
      </w:tr>
    </w:tbl>
    <w:bookmarkEnd w:id="48"/>
    <w:bookmarkStart w:id="53" w:name="distribution-of-a-virtual-species"/>
    <w:p>
      <w:pPr>
        <w:pStyle w:val="Heading2"/>
      </w:pPr>
      <w:r>
        <w:t xml:space="preserve">Distribution of a virtual species</w:t>
      </w:r>
    </w:p>
    <w:p>
      <w:pPr>
        <w:pStyle w:val="FirstParagraph"/>
      </w:pPr>
      <w:r>
        <w:t xml:space="preserve">In the final case study (Supp. Mat. 4), we simulate a virtual distribution</w:t>
      </w:r>
      <w:r>
        <w:t xml:space="preserve"> </w:t>
      </w:r>
      <w:r>
        <w:t xml:space="preserve">(Hirzel, Helfer, and Metral 2001)</w:t>
      </w:r>
      <w:r>
        <w:t xml:space="preserve">, using a species 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virtual-species"/>
          <w:p>
            <w:pPr>
              <w:pStyle w:val="Compact"/>
              <w:jc w:val="center"/>
            </w:pPr>
            <w:r>
              <w:drawing>
                <wp:inline>
                  <wp:extent cx="5334000" cy="5334000"/>
                  <wp:effectExtent b="0" l="0" r="0" t="0"/>
                  <wp:docPr descr="" title="" id="50" name="Picture"/>
                  <a:graphic>
                    <a:graphicData uri="http://schemas.openxmlformats.org/drawingml/2006/picture">
                      <pic:pic>
                        <pic:nvPicPr>
                          <pic:cNvPr descr="index_files/figure-docx/appendix-virtualspecies-fig-virtual-species-output-1.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52"/>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3"/>
    <w:bookmarkEnd w:id="54"/>
    <w:bookmarkStart w:id="121"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w:t>
      </w:r>
      <w:r>
        <w:t xml:space="preserve">TP is funded by an NSERC Discovery grant, a Discovery Acceleration Supplement grant, and a Wellcome Trust grant (223764/Z/21/Z). MDC is funded by an IVADO Postdoctoral Fellowship.</w:t>
      </w:r>
    </w:p>
    <w:bookmarkStart w:id="120" w:name="refs"/>
    <w:bookmarkStart w:id="56"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5">
        <w:r>
          <w:rPr>
            <w:rStyle w:val="Hyperlink"/>
          </w:rPr>
          <w:t xml:space="preserve">https://doi.org/10.1126/sciadv.aat4858</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2">
        <w:r>
          <w:rPr>
            <w:rStyle w:val="Hyperlink"/>
          </w:rPr>
          <w:t xml:space="preserve">https://doi.org/10.1038/sdata.2018.254</w:t>
        </w:r>
      </w:hyperlink>
      <w:r>
        <w:t xml:space="preserve">.</w:t>
      </w:r>
    </w:p>
    <w:bookmarkEnd w:id="63"/>
    <w:bookmarkStart w:id="6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4">
        <w:r>
          <w:rPr>
            <w:rStyle w:val="Hyperlink"/>
          </w:rPr>
          <w:t xml:space="preserve">https://doi.org/10.5281/ZENODO.3939050</w:t>
        </w:r>
      </w:hyperlink>
      <w:r>
        <w:t xml:space="preserve">.</w:t>
      </w:r>
    </w:p>
    <w:bookmarkEnd w:id="65"/>
    <w:bookmarkStart w:id="6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6">
        <w:r>
          <w:rPr>
            <w:rStyle w:val="Hyperlink"/>
          </w:rPr>
          <w:t xml:space="preserve">https://doi.org/10.1007/s10393-021-01564-6</w:t>
        </w:r>
      </w:hyperlink>
      <w:r>
        <w:t xml:space="preserve">.</w:t>
      </w:r>
    </w:p>
    <w:bookmarkEnd w:id="67"/>
    <w:bookmarkStart w:id="69"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68">
        <w:r>
          <w:rPr>
            <w:rStyle w:val="Hyperlink"/>
          </w:rPr>
          <w:t xml:space="preserve">https://doi.org/10.21105/joss.02872</w:t>
        </w:r>
      </w:hyperlink>
      <w:r>
        <w:t xml:space="preserve">.</w:t>
      </w:r>
    </w:p>
    <w:bookmarkEnd w:id="69"/>
    <w:bookmarkStart w:id="7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70">
        <w:r>
          <w:rPr>
            <w:rStyle w:val="Hyperlink"/>
          </w:rPr>
          <w:t xml:space="preserve">https://doi.org/10.1016/j.ecolmodel.2004.12.007</w:t>
        </w:r>
      </w:hyperlink>
      <w:r>
        <w:t xml:space="preserve">.</w:t>
      </w:r>
    </w:p>
    <w:bookmarkEnd w:id="71"/>
    <w:bookmarkStart w:id="7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72">
        <w:r>
          <w:rPr>
            <w:rStyle w:val="Hyperlink"/>
          </w:rPr>
          <w:t xml:space="preserve">https://doi.org/10.1146/annurev.ecolsys.110308.120159</w:t>
        </w:r>
      </w:hyperlink>
      <w:r>
        <w:t xml:space="preserve">.</w:t>
      </w:r>
    </w:p>
    <w:bookmarkEnd w:id="73"/>
    <w:bookmarkStart w:id="7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74">
        <w:r>
          <w:rPr>
            <w:rStyle w:val="Hyperlink"/>
          </w:rPr>
          <w:t xml:space="preserve">https://doi.org/10.1002/joc.5086</w:t>
        </w:r>
      </w:hyperlink>
      <w:r>
        <w:t xml:space="preserve">.</w:t>
      </w:r>
    </w:p>
    <w:bookmarkEnd w:id="75"/>
    <w:bookmarkStart w:id="7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6"/>
    <w:bookmarkStart w:id="78"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7">
        <w:r>
          <w:rPr>
            <w:rStyle w:val="Hyperlink"/>
          </w:rPr>
          <w:t xml:space="preserve">https://doi.org/10.1111/2041-210x.14221</w:t>
        </w:r>
      </w:hyperlink>
      <w:r>
        <w:t xml:space="preserve">.</w:t>
      </w:r>
    </w:p>
    <w:bookmarkEnd w:id="78"/>
    <w:bookmarkStart w:id="80"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79">
        <w:r>
          <w:rPr>
            <w:rStyle w:val="Hyperlink"/>
          </w:rPr>
          <w:t xml:space="preserve">https://doi.org/10.1038/s41559-023-02171-0</w:t>
        </w:r>
      </w:hyperlink>
      <w:r>
        <w:t xml:space="preserve">.</w:t>
      </w:r>
    </w:p>
    <w:bookmarkEnd w:id="80"/>
    <w:bookmarkStart w:id="82"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81">
        <w:r>
          <w:rPr>
            <w:rStyle w:val="Hyperlink"/>
          </w:rPr>
          <w:t xml:space="preserve">https://doi.org/10.32942/X2M320</w:t>
        </w:r>
      </w:hyperlink>
      <w:r>
        <w:t xml:space="preserve">.</w:t>
      </w:r>
    </w:p>
    <w:bookmarkEnd w:id="82"/>
    <w:bookmarkStart w:id="84"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83">
        <w:r>
          <w:rPr>
            <w:rStyle w:val="Hyperlink"/>
          </w:rPr>
          <w:t xml:space="preserve">https://doi.org/10.1016/s0304-3800(01)00396-9</w:t>
        </w:r>
      </w:hyperlink>
      <w:r>
        <w:t xml:space="preserve">.</w:t>
      </w:r>
    </w:p>
    <w:bookmarkEnd w:id="84"/>
    <w:bookmarkStart w:id="86"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85">
        <w:r>
          <w:rPr>
            <w:rStyle w:val="Hyperlink"/>
          </w:rPr>
          <w:t xml:space="preserve">https://doi.org/10.1073/pnas.1302251110</w:t>
        </w:r>
      </w:hyperlink>
      <w:r>
        <w:t xml:space="preserve">.</w:t>
      </w:r>
    </w:p>
    <w:bookmarkEnd w:id="86"/>
    <w:bookmarkStart w:id="88"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87">
        <w:r>
          <w:rPr>
            <w:rStyle w:val="Hyperlink"/>
          </w:rPr>
          <w:t xml:space="preserve">https://doi.org/10.1038/sdata.2017.122</w:t>
        </w:r>
      </w:hyperlink>
      <w:r>
        <w:t xml:space="preserve">.</w:t>
      </w:r>
    </w:p>
    <w:bookmarkEnd w:id="88"/>
    <w:bookmarkStart w:id="89"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89"/>
    <w:bookmarkStart w:id="91"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90">
        <w:r>
          <w:rPr>
            <w:rStyle w:val="Hyperlink"/>
          </w:rPr>
          <w:t xml:space="preserve">https://doi.org/10.1111/ecog.07346</w:t>
        </w:r>
      </w:hyperlink>
      <w:r>
        <w:t xml:space="preserve">.</w:t>
      </w:r>
    </w:p>
    <w:bookmarkEnd w:id="91"/>
    <w:bookmarkStart w:id="93"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92">
        <w:r>
          <w:rPr>
            <w:rStyle w:val="Hyperlink"/>
          </w:rPr>
          <w:t xml:space="preserve">https://doi.org/10.1002/ecy.4475</w:t>
        </w:r>
      </w:hyperlink>
      <w:r>
        <w:t xml:space="preserve">.</w:t>
      </w:r>
    </w:p>
    <w:bookmarkEnd w:id="93"/>
    <w:bookmarkStart w:id="95"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94">
        <w:r>
          <w:rPr>
            <w:rStyle w:val="Hyperlink"/>
          </w:rPr>
          <w:t xml:space="preserve">https://doi.org/10.1145/22899.22906</w:t>
        </w:r>
      </w:hyperlink>
      <w:r>
        <w:t xml:space="preserve">.</w:t>
      </w:r>
    </w:p>
    <w:bookmarkEnd w:id="95"/>
    <w:bookmarkStart w:id="97"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96">
        <w:r>
          <w:rPr>
            <w:rStyle w:val="Hyperlink"/>
          </w:rPr>
          <w:t xml:space="preserve">https://doi.org/10.1111/ecog.01388</w:t>
        </w:r>
      </w:hyperlink>
      <w:r>
        <w:t xml:space="preserve">.</w:t>
      </w:r>
    </w:p>
    <w:bookmarkEnd w:id="97"/>
    <w:bookmarkStart w:id="9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98">
        <w:r>
          <w:rPr>
            <w:rStyle w:val="Hyperlink"/>
          </w:rPr>
          <w:t xml:space="preserve">https://doi.org/10.1111/ddi.12209</w:t>
        </w:r>
      </w:hyperlink>
      <w:r>
        <w:t xml:space="preserve">.</w:t>
      </w:r>
    </w:p>
    <w:bookmarkEnd w:id="99"/>
    <w:bookmarkStart w:id="10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00"/>
    <w:bookmarkStart w:id="102"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01">
        <w:r>
          <w:rPr>
            <w:rStyle w:val="Hyperlink"/>
          </w:rPr>
          <w:t xml:space="preserve">https://doi.org/10.1111/ecog.05880</w:t>
        </w:r>
      </w:hyperlink>
      <w:r>
        <w:t xml:space="preserve">.</w:t>
      </w:r>
    </w:p>
    <w:bookmarkEnd w:id="102"/>
    <w:bookmarkStart w:id="104"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03">
        <w:r>
          <w:rPr>
            <w:rStyle w:val="Hyperlink"/>
          </w:rPr>
          <w:t xml:space="preserve">https://doi.org/10.1644/09-MAMM-A-152.1</w:t>
        </w:r>
      </w:hyperlink>
      <w:r>
        <w:t xml:space="preserve">.</w:t>
      </w:r>
    </w:p>
    <w:bookmarkEnd w:id="104"/>
    <w:bookmarkStart w:id="106"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05">
        <w:r>
          <w:rPr>
            <w:rStyle w:val="Hyperlink"/>
          </w:rPr>
          <w:t xml:space="preserve">https://doi.org/10.1111/ecog.02881</w:t>
        </w:r>
      </w:hyperlink>
      <w:r>
        <w:t xml:space="preserve">.</w:t>
      </w:r>
    </w:p>
    <w:bookmarkEnd w:id="106"/>
    <w:bookmarkStart w:id="108"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07">
        <w:r>
          <w:rPr>
            <w:rStyle w:val="Hyperlink"/>
          </w:rPr>
          <w:t xml:space="preserve">https://doi.org/10.1038/s41592-023-01832-z</w:t>
        </w:r>
      </w:hyperlink>
      <w:r>
        <w:t xml:space="preserve">.</w:t>
      </w:r>
    </w:p>
    <w:bookmarkEnd w:id="108"/>
    <w:bookmarkStart w:id="110"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09">
        <w:r>
          <w:rPr>
            <w:rStyle w:val="Hyperlink"/>
          </w:rPr>
          <w:t xml:space="preserve">https://doi.org/10.1111/geb.12182</w:t>
        </w:r>
      </w:hyperlink>
      <w:r>
        <w:t xml:space="preserve">.</w:t>
      </w:r>
    </w:p>
    <w:bookmarkEnd w:id="110"/>
    <w:bookmarkStart w:id="112"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11">
        <w:r>
          <w:rPr>
            <w:rStyle w:val="Hyperlink"/>
          </w:rPr>
          <w:t xml:space="preserve">https://doi.org/10.1111/geb.12365</w:t>
        </w:r>
      </w:hyperlink>
      <w:r>
        <w:t xml:space="preserve">.</w:t>
      </w:r>
    </w:p>
    <w:bookmarkEnd w:id="112"/>
    <w:bookmarkStart w:id="113"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13"/>
    <w:bookmarkStart w:id="115"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14">
        <w:r>
          <w:rPr>
            <w:rStyle w:val="Hyperlink"/>
          </w:rPr>
          <w:t xml:space="preserve">https://doi.org/10.5194/soil-9-21-2023</w:t>
        </w:r>
      </w:hyperlink>
      <w:r>
        <w:t xml:space="preserve">.</w:t>
      </w:r>
    </w:p>
    <w:bookmarkEnd w:id="115"/>
    <w:bookmarkStart w:id="117"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16">
        <w:r>
          <w:rPr>
            <w:rStyle w:val="Hyperlink"/>
          </w:rPr>
          <w:t xml:space="preserve">https://doi.org/10.1111/j.1472-4642.2012.00887.x</w:t>
        </w:r>
      </w:hyperlink>
      <w:r>
        <w:t xml:space="preserve">.</w:t>
      </w:r>
    </w:p>
    <w:bookmarkEnd w:id="117"/>
    <w:bookmarkStart w:id="119"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18">
        <w:r>
          <w:rPr>
            <w:rStyle w:val="Hyperlink"/>
          </w:rPr>
          <w:t xml:space="preserve">https://doi.org/10.1111/ecog.04960</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92" Target="https://doi.org/10.1002/ecy.4475" TargetMode="External" /><Relationship Type="http://schemas.openxmlformats.org/officeDocument/2006/relationships/hyperlink" Id="rId74" Target="https://doi.org/10.1002/joc.5086" TargetMode="External" /><Relationship Type="http://schemas.openxmlformats.org/officeDocument/2006/relationships/hyperlink" Id="rId66" Target="https://doi.org/10.1007/s10393-021-01564-6" TargetMode="External" /><Relationship Type="http://schemas.openxmlformats.org/officeDocument/2006/relationships/hyperlink" Id="rId70" Target="https://doi.org/10.1016/j.ecolmodel.2004.12.007" TargetMode="External" /><Relationship Type="http://schemas.openxmlformats.org/officeDocument/2006/relationships/hyperlink" Id="rId83" Target="https://doi.org/10.1016/s0304-3800(01)00396-9" TargetMode="External" /><Relationship Type="http://schemas.openxmlformats.org/officeDocument/2006/relationships/hyperlink" Id="rId79" Target="https://doi.org/10.1038/s41559-023-02171-0" TargetMode="External" /><Relationship Type="http://schemas.openxmlformats.org/officeDocument/2006/relationships/hyperlink" Id="rId107" Target="https://doi.org/10.1038/s41592-023-01832-z" TargetMode="External" /><Relationship Type="http://schemas.openxmlformats.org/officeDocument/2006/relationships/hyperlink" Id="rId87" Target="https://doi.org/10.1038/sdata.2017.122" TargetMode="External" /><Relationship Type="http://schemas.openxmlformats.org/officeDocument/2006/relationships/hyperlink" Id="rId62" Target="https://doi.org/10.1038/sdata.2018.254" TargetMode="External" /><Relationship Type="http://schemas.openxmlformats.org/officeDocument/2006/relationships/hyperlink" Id="rId85" Target="https://doi.org/10.1073/pnas.1302251110" TargetMode="External" /><Relationship Type="http://schemas.openxmlformats.org/officeDocument/2006/relationships/hyperlink" Id="rId77" Target="https://doi.org/10.1111/2041-210x.14221" TargetMode="External" /><Relationship Type="http://schemas.openxmlformats.org/officeDocument/2006/relationships/hyperlink" Id="rId98" Target="https://doi.org/10.1111/ddi.12209" TargetMode="External" /><Relationship Type="http://schemas.openxmlformats.org/officeDocument/2006/relationships/hyperlink" Id="rId96" Target="https://doi.org/10.1111/ecog.01388" TargetMode="External" /><Relationship Type="http://schemas.openxmlformats.org/officeDocument/2006/relationships/hyperlink" Id="rId105" Target="https://doi.org/10.1111/ecog.02881" TargetMode="External" /><Relationship Type="http://schemas.openxmlformats.org/officeDocument/2006/relationships/hyperlink" Id="rId118" Target="https://doi.org/10.1111/ecog.04960" TargetMode="External" /><Relationship Type="http://schemas.openxmlformats.org/officeDocument/2006/relationships/hyperlink" Id="rId101" Target="https://doi.org/10.1111/ecog.05880" TargetMode="External" /><Relationship Type="http://schemas.openxmlformats.org/officeDocument/2006/relationships/hyperlink" Id="rId90" Target="https://doi.org/10.1111/ecog.07346" TargetMode="External" /><Relationship Type="http://schemas.openxmlformats.org/officeDocument/2006/relationships/hyperlink" Id="rId109" Target="https://doi.org/10.1111/geb.12182" TargetMode="External" /><Relationship Type="http://schemas.openxmlformats.org/officeDocument/2006/relationships/hyperlink" Id="rId111" Target="https://doi.org/10.1111/geb.12365" TargetMode="External" /><Relationship Type="http://schemas.openxmlformats.org/officeDocument/2006/relationships/hyperlink" Id="rId116"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5"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94" Target="https://doi.org/10.1145/22899.22906" TargetMode="External" /><Relationship Type="http://schemas.openxmlformats.org/officeDocument/2006/relationships/hyperlink" Id="rId72" Target="https://doi.org/10.1146/annurev.ecolsys.110308.120159" TargetMode="External" /><Relationship Type="http://schemas.openxmlformats.org/officeDocument/2006/relationships/hyperlink" Id="rId103" Target="https://doi.org/10.1644/09-MAMM-A-152.1" TargetMode="External" /><Relationship Type="http://schemas.openxmlformats.org/officeDocument/2006/relationships/hyperlink" Id="rId68" Target="https://doi.org/10.21105/joss.02872" TargetMode="External" /><Relationship Type="http://schemas.openxmlformats.org/officeDocument/2006/relationships/hyperlink" Id="rId81" Target="https://doi.org/10.32942/X2M320" TargetMode="External" /><Relationship Type="http://schemas.openxmlformats.org/officeDocument/2006/relationships/hyperlink" Id="rId114" Target="https://doi.org/10.5194/soil-9-21-2023" TargetMode="External" /><Relationship Type="http://schemas.openxmlformats.org/officeDocument/2006/relationships/hyperlink" Id="rId64"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2/ecy.4475" TargetMode="External" /><Relationship Type="http://schemas.openxmlformats.org/officeDocument/2006/relationships/hyperlink" Id="rId74" Target="https://doi.org/10.1002/joc.5086" TargetMode="External" /><Relationship Type="http://schemas.openxmlformats.org/officeDocument/2006/relationships/hyperlink" Id="rId66" Target="https://doi.org/10.1007/s10393-021-01564-6" TargetMode="External" /><Relationship Type="http://schemas.openxmlformats.org/officeDocument/2006/relationships/hyperlink" Id="rId70" Target="https://doi.org/10.1016/j.ecolmodel.2004.12.007" TargetMode="External" /><Relationship Type="http://schemas.openxmlformats.org/officeDocument/2006/relationships/hyperlink" Id="rId83" Target="https://doi.org/10.1016/s0304-3800(01)00396-9" TargetMode="External" /><Relationship Type="http://schemas.openxmlformats.org/officeDocument/2006/relationships/hyperlink" Id="rId79" Target="https://doi.org/10.1038/s41559-023-02171-0" TargetMode="External" /><Relationship Type="http://schemas.openxmlformats.org/officeDocument/2006/relationships/hyperlink" Id="rId107" Target="https://doi.org/10.1038/s41592-023-01832-z" TargetMode="External" /><Relationship Type="http://schemas.openxmlformats.org/officeDocument/2006/relationships/hyperlink" Id="rId87" Target="https://doi.org/10.1038/sdata.2017.122" TargetMode="External" /><Relationship Type="http://schemas.openxmlformats.org/officeDocument/2006/relationships/hyperlink" Id="rId62" Target="https://doi.org/10.1038/sdata.2018.254" TargetMode="External" /><Relationship Type="http://schemas.openxmlformats.org/officeDocument/2006/relationships/hyperlink" Id="rId85" Target="https://doi.org/10.1073/pnas.1302251110" TargetMode="External" /><Relationship Type="http://schemas.openxmlformats.org/officeDocument/2006/relationships/hyperlink" Id="rId77" Target="https://doi.org/10.1111/2041-210x.14221" TargetMode="External" /><Relationship Type="http://schemas.openxmlformats.org/officeDocument/2006/relationships/hyperlink" Id="rId98" Target="https://doi.org/10.1111/ddi.12209" TargetMode="External" /><Relationship Type="http://schemas.openxmlformats.org/officeDocument/2006/relationships/hyperlink" Id="rId96" Target="https://doi.org/10.1111/ecog.01388" TargetMode="External" /><Relationship Type="http://schemas.openxmlformats.org/officeDocument/2006/relationships/hyperlink" Id="rId105" Target="https://doi.org/10.1111/ecog.02881" TargetMode="External" /><Relationship Type="http://schemas.openxmlformats.org/officeDocument/2006/relationships/hyperlink" Id="rId118" Target="https://doi.org/10.1111/ecog.04960" TargetMode="External" /><Relationship Type="http://schemas.openxmlformats.org/officeDocument/2006/relationships/hyperlink" Id="rId101" Target="https://doi.org/10.1111/ecog.05880" TargetMode="External" /><Relationship Type="http://schemas.openxmlformats.org/officeDocument/2006/relationships/hyperlink" Id="rId90" Target="https://doi.org/10.1111/ecog.07346" TargetMode="External" /><Relationship Type="http://schemas.openxmlformats.org/officeDocument/2006/relationships/hyperlink" Id="rId109" Target="https://doi.org/10.1111/geb.12182" TargetMode="External" /><Relationship Type="http://schemas.openxmlformats.org/officeDocument/2006/relationships/hyperlink" Id="rId111" Target="https://doi.org/10.1111/geb.12365" TargetMode="External" /><Relationship Type="http://schemas.openxmlformats.org/officeDocument/2006/relationships/hyperlink" Id="rId116"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5"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94" Target="https://doi.org/10.1145/22899.22906" TargetMode="External" /><Relationship Type="http://schemas.openxmlformats.org/officeDocument/2006/relationships/hyperlink" Id="rId72" Target="https://doi.org/10.1146/annurev.ecolsys.110308.120159" TargetMode="External" /><Relationship Type="http://schemas.openxmlformats.org/officeDocument/2006/relationships/hyperlink" Id="rId103" Target="https://doi.org/10.1644/09-MAMM-A-152.1" TargetMode="External" /><Relationship Type="http://schemas.openxmlformats.org/officeDocument/2006/relationships/hyperlink" Id="rId68" Target="https://doi.org/10.21105/joss.02872" TargetMode="External" /><Relationship Type="http://schemas.openxmlformats.org/officeDocument/2006/relationships/hyperlink" Id="rId81" Target="https://doi.org/10.32942/X2M320" TargetMode="External" /><Relationship Type="http://schemas.openxmlformats.org/officeDocument/2006/relationships/hyperlink" Id="rId114" Target="https://doi.org/10.5194/soil-9-21-2023" TargetMode="External" /><Relationship Type="http://schemas.openxmlformats.org/officeDocument/2006/relationships/hyperlink" Id="rId64"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2025-02-12T22:01:01Z</dcterms:created>
  <dcterms:modified xsi:type="dcterms:W3CDTF">2025-02-12T22:01:01Z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