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2024-01-31</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20" w:name="introduction"/>
    <w:p>
      <w:pPr>
        <w:pStyle w:val="Heading2"/>
      </w:pPr>
      <w:r>
        <w:t xml:space="preserve">1 Introduction</w:t>
      </w:r>
    </w:p>
    <w:bookmarkEnd w:id="20"/>
    <w:bookmarkStart w:id="26" w:name="sec-data-methods"/>
    <w:p>
      <w:pPr>
        <w:pStyle w:val="Heading2"/>
      </w:pPr>
      <w:r>
        <w:t xml:space="preserve">2 Data &amp; Methods</w:t>
      </w:r>
    </w:p>
    <w:p>
      <w:pPr>
        <w:pStyle w:val="FirstParagraph"/>
      </w:pPr>
      <w:r>
        <w:t xml:space="preserve">The metacommunity model developed by</w:t>
      </w:r>
      <w:r>
        <w:t xml:space="preserve"> </w:t>
      </w:r>
      <w:r>
        <w:t xml:space="preserve">Thompson and Gonzalez (2017)</w:t>
      </w:r>
      <w:r>
        <w:t xml:space="preserve"> </w:t>
      </w:r>
      <w:r>
        <w:t xml:space="preserve">is a good starting point to use for this</w:t>
      </w:r>
      <w:r>
        <w:t xml:space="preserve"> </w:t>
      </w:r>
      <w:r>
        <w:t xml:space="preserve">‘</w:t>
      </w:r>
      <w:r>
        <w:t xml:space="preserve">case study</w:t>
      </w:r>
      <w:r>
        <w:t xml:space="preserve">’</w:t>
      </w:r>
      <w:r>
        <w:t xml:space="preserve"> </w:t>
      </w:r>
      <w:r>
        <w:t xml:space="preserve">as it allows us some flexibility with how we want to parameterise the system.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a collection of modified Lotka–Volterra equations and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drawn from a uniform distribution with the parameters for the interaction pairs listed in</w:t>
      </w:r>
      <w:r>
        <w:t xml:space="preserve"> </w:t>
      </w:r>
      <w:hyperlink w:anchor="tbl-interaction_strength">
        <w:r>
          <w:rPr>
            <w:rStyle w:val="Hyperlink"/>
          </w:rPr>
          <w:t xml:space="preserve">Table 1</w:t>
        </w:r>
      </w:hyperlink>
      <w:r>
        <w:t xml:space="preserve">, the values drawn from the uniform distribution are scaled by dividing by</w:t>
      </w:r>
      <w:r>
        <w:t xml:space="preserve"> </w:t>
      </w:r>
      <m:oMath>
        <m:r>
          <m:t>0.33</m:t>
        </m:r>
        <m:r>
          <m:t>S</m:t>
        </m:r>
      </m:oMath>
      <w:r>
        <w:t xml:space="preserve"> </w:t>
      </w:r>
      <w:r>
        <w:t xml:space="preserve">to yield the final interaction strength for each interacting pair.</w:t>
      </w:r>
    </w:p>
    <w:tbl>
      <w:tblPr>
        <w:tblStyle w:val="Table"/>
        <w:tblW w:type="pct" w:w="5000"/>
        <w:tblLook w:firstRow="0" w:lastRow="0" w:firstColumn="0" w:lastColumn="0" w:noHBand="0" w:noVBand="0" w:val="0000"/>
        <w:jc w:val="start"/>
        <w:tblLayout w:type="fixed"/>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Cs/>
                <w:i/>
              </w:rPr>
              <w:t xml:space="preserve">i.e.,</w:t>
            </w:r>
            <w:r>
              <w:t xml:space="preserve"> </w:t>
            </w:r>
            <w:r>
              <w:t xml:space="preserve">herbivore-plant represents the effect of a herbivore species on a plant species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Interacting pair</w:t>
                  </w:r>
                </w:p>
              </w:tc>
              <w:tc>
                <w:tcPr/>
                <w:p>
                  <w:pPr>
                    <w:pStyle w:val="Compact"/>
                    <w:jc w:val="left"/>
                    <w:jc w:val="center"/>
                  </w:pPr>
                  <w:r>
                    <w:t xml:space="preserve">Range of uniform distribution</w:t>
                  </w:r>
                </w:p>
              </w:tc>
            </w:tr>
            <w:tr>
              <w:tc>
                <w:tcPr/>
                <w:p>
                  <w:pPr>
                    <w:pStyle w:val="Compact"/>
                    <w:jc w:val="left"/>
                    <w:jc w:val="center"/>
                  </w:pPr>
                  <w:r>
                    <w:t xml:space="preserve">Plant-plant</w:t>
                  </w:r>
                </w:p>
              </w:tc>
              <w:tc>
                <w:tcPr/>
                <w:p>
                  <w:pPr>
                    <w:pStyle w:val="Compact"/>
                    <w:jc w:val="left"/>
                    <w:jc w:val="center"/>
                  </w:pPr>
                  <w:r>
                    <w:t xml:space="preserve">-1 – 0</w:t>
                  </w:r>
                </w:p>
              </w:tc>
            </w:tr>
            <w:tr>
              <w:tc>
                <w:tcPr/>
                <w:p>
                  <w:pPr>
                    <w:pStyle w:val="Compact"/>
                    <w:jc w:val="left"/>
                    <w:jc w:val="center"/>
                  </w:pPr>
                  <w:r>
                    <w:t xml:space="preserve">Plant-herbivore</w:t>
                  </w:r>
                </w:p>
              </w:tc>
              <w:tc>
                <w:tcPr/>
                <w:p>
                  <w:pPr>
                    <w:pStyle w:val="Compact"/>
                    <w:jc w:val="left"/>
                    <w:jc w:val="center"/>
                  </w:pPr>
                  <w:r>
                    <w:t xml:space="preserve">0 – 0.1</w:t>
                  </w:r>
                </w:p>
              </w:tc>
            </w:tr>
            <w:tr>
              <w:tc>
                <w:tcPr/>
                <w:p>
                  <w:pPr>
                    <w:pStyle w:val="Compact"/>
                    <w:jc w:val="left"/>
                    <w:jc w:val="center"/>
                  </w:pPr>
                  <w:r>
                    <w:t xml:space="preserve">Plant-carnivore</w:t>
                  </w:r>
                </w:p>
              </w:tc>
              <w:tc>
                <w:tcPr/>
                <w:p>
                  <w:pPr>
                    <w:pStyle w:val="Compact"/>
                    <w:jc w:val="left"/>
                    <w:jc w:val="center"/>
                  </w:pPr>
                  <w:r>
                    <w:t xml:space="preserve">0</w:t>
                  </w:r>
                </w:p>
              </w:tc>
            </w:tr>
            <w:tr>
              <w:tc>
                <w:tcPr/>
                <w:p>
                  <w:pPr>
                    <w:pStyle w:val="Compact"/>
                    <w:jc w:val="left"/>
                    <w:jc w:val="center"/>
                  </w:pPr>
                  <w:r>
                    <w:t xml:space="preserve">Herbivore-plant</w:t>
                  </w:r>
                </w:p>
              </w:tc>
              <w:tc>
                <w:tcPr/>
                <w:p>
                  <w:pPr>
                    <w:pStyle w:val="Compact"/>
                    <w:jc w:val="left"/>
                    <w:jc w:val="center"/>
                  </w:pPr>
                  <w:r>
                    <w:t xml:space="preserve">-0.3 – 0</w:t>
                  </w:r>
                </w:p>
              </w:tc>
            </w:tr>
            <w:tr>
              <w:tc>
                <w:tcPr/>
                <w:p>
                  <w:pPr>
                    <w:pStyle w:val="Compact"/>
                    <w:jc w:val="left"/>
                    <w:jc w:val="center"/>
                  </w:pPr>
                  <w:r>
                    <w:t xml:space="preserve">Herbivore-herbivore</w:t>
                  </w:r>
                </w:p>
              </w:tc>
              <w:tc>
                <w:tcPr/>
                <w:p>
                  <w:pPr>
                    <w:pStyle w:val="Compact"/>
                    <w:jc w:val="left"/>
                    <w:jc w:val="center"/>
                  </w:pPr>
                  <w:r>
                    <w:t xml:space="preserve">-0.2– -0.15</w:t>
                  </w:r>
                </w:p>
              </w:tc>
            </w:tr>
            <w:tr>
              <w:tc>
                <w:tcPr/>
                <w:p>
                  <w:pPr>
                    <w:pStyle w:val="Compact"/>
                    <w:jc w:val="left"/>
                    <w:jc w:val="center"/>
                  </w:pPr>
                  <w:r>
                    <w:t xml:space="preserve">Herbivore-carnivore</w:t>
                  </w:r>
                </w:p>
              </w:tc>
              <w:tc>
                <w:tcPr/>
                <w:p>
                  <w:pPr>
                    <w:pStyle w:val="Compact"/>
                    <w:jc w:val="left"/>
                    <w:jc w:val="center"/>
                  </w:pPr>
                  <w:r>
                    <w:t xml:space="preserve">0 – 0.08</w:t>
                  </w:r>
                </w:p>
              </w:tc>
            </w:tr>
            <w:tr>
              <w:tc>
                <w:tcPr/>
                <w:p>
                  <w:pPr>
                    <w:pStyle w:val="Compact"/>
                    <w:jc w:val="left"/>
                    <w:jc w:val="center"/>
                  </w:pPr>
                  <w:r>
                    <w:t xml:space="preserve">Carnivore-plant</w:t>
                  </w:r>
                </w:p>
              </w:tc>
              <w:tc>
                <w:tcPr/>
                <w:p>
                  <w:pPr>
                    <w:pStyle w:val="Compact"/>
                    <w:jc w:val="left"/>
                    <w:jc w:val="center"/>
                  </w:pPr>
                  <w:r>
                    <w:t xml:space="preserve">0</w:t>
                  </w:r>
                </w:p>
              </w:tc>
            </w:tr>
            <w:tr>
              <w:tc>
                <w:tcPr/>
                <w:p>
                  <w:pPr>
                    <w:pStyle w:val="Compact"/>
                    <w:jc w:val="left"/>
                    <w:jc w:val="center"/>
                  </w:pPr>
                  <w:r>
                    <w:t xml:space="preserve">Carnivore-herbivore</w:t>
                  </w:r>
                </w:p>
              </w:tc>
              <w:tc>
                <w:tcPr/>
                <w:p>
                  <w:pPr>
                    <w:pStyle w:val="Compact"/>
                    <w:jc w:val="left"/>
                    <w:jc w:val="center"/>
                  </w:pPr>
                  <w:r>
                    <w:t xml:space="preserve">-0.1 – 0</w:t>
                  </w:r>
                </w:p>
              </w:tc>
            </w:tr>
            <w:tr>
              <w:tc>
                <w:tcPr/>
                <w:p>
                  <w:pPr>
                    <w:pStyle w:val="Compact"/>
                    <w:jc w:val="left"/>
                    <w:jc w:val="center"/>
                  </w:pPr>
                  <w:r>
                    <w:t xml:space="preserve">Carnivore-carnivore</w:t>
                  </w:r>
                </w:p>
              </w:tc>
              <w:tc>
                <w:tcPr/>
                <w:p>
                  <w:pPr>
                    <w:pStyle w:val="Compact"/>
                    <w:jc w:val="left"/>
                    <w:jc w:val="center"/>
                  </w:pPr>
                  <w:r>
                    <w:t xml:space="preserve">-0.1 – 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w:t>
      </w:r>
      <w:r>
        <w:t xml:space="preserve">and can be further expanded as follows:</w:t>
      </w:r>
    </w:p>
    <w:p>
      <w:pPr>
        <w:pStyle w:val="BodyText"/>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r>
            <m:t>h</m:t>
          </m:r>
          <m:d>
            <m:dPr>
              <m:begChr m:val="("/>
              <m:endChr m:val=")"/>
              <m:sepChr m:val=""/>
              <m:grow/>
            </m:dPr>
            <m:e>
              <m:r>
                <m:t>e</m:t>
              </m:r>
              <m:r>
                <m:t>x</m:t>
              </m:r>
              <m:r>
                <m:t>p</m:t>
              </m:r>
              <m:r>
                <m:rPr>
                  <m:sty m:val="p"/>
                </m:rPr>
                <m:t>−</m:t>
              </m:r>
              <m:f>
                <m:fPr>
                  <m:type m:val="bar"/>
                </m:fPr>
                <m:num>
                  <m:sSup>
                    <m:e>
                      <m:d>
                        <m:dPr>
                          <m:begChr m:val="("/>
                          <m:endChr m:val=")"/>
                          <m:sepChr m:val=""/>
                          <m:grow/>
                        </m:dPr>
                        <m:e>
                          <m:sSub>
                            <m:e>
                              <m:r>
                                <m:t>E</m:t>
                              </m:r>
                            </m:e>
                            <m:sub>
                              <m:r>
                                <m:t>j</m:t>
                              </m:r>
                            </m:sub>
                          </m:sSub>
                          <m:d>
                            <m:dPr>
                              <m:begChr m:val="("/>
                              <m:endChr m:val=")"/>
                              <m:sepChr m:val=""/>
                              <m:grow/>
                            </m:dPr>
                            <m:e>
                              <m:r>
                                <m:t>t</m:t>
                              </m:r>
                            </m:e>
                          </m:d>
                          <m:r>
                            <m:rPr>
                              <m:sty m:val="p"/>
                            </m:rPr>
                            <m:t>−</m:t>
                          </m:r>
                          <m:sSub>
                            <m:e>
                              <m:r>
                                <m:t>H</m:t>
                              </m:r>
                            </m:e>
                            <m:sub>
                              <m:r>
                                <m:t>i</m:t>
                              </m:r>
                            </m:sub>
                          </m:sSub>
                        </m:e>
                      </m:d>
                    </m:e>
                    <m:sup>
                      <m:r>
                        <m:t>2</m:t>
                      </m:r>
                    </m:sup>
                  </m:sSup>
                </m:num>
                <m:den>
                  <m:r>
                    <m:t>2</m:t>
                  </m:r>
                  <m:sSup>
                    <m:e>
                      <m:r>
                        <m:t>σ</m:t>
                      </m:r>
                    </m:e>
                    <m:sup>
                      <m:r>
                        <m:t>2</m:t>
                      </m:r>
                    </m:sup>
                  </m:sSup>
                </m:den>
              </m:f>
              <m:r>
                <m:rPr>
                  <m:sty m:val="p"/>
                </m:rPr>
                <m:t>−</m:t>
              </m:r>
              <m:r>
                <m:t>1</m:t>
              </m:r>
            </m:e>
          </m:d>
          <m:r>
            <m:t>  </m:t>
          </m:r>
          <m:d>
            <m:dPr>
              <m:begChr m:val="("/>
              <m:endChr m:val=")"/>
              <m:sepChr m:val=""/>
              <m:grow/>
            </m:dPr>
            <m:e>
              <m:r>
                <m:t>2</m:t>
              </m:r>
            </m:e>
          </m:d>
        </m:oMath>
      </m:oMathPara>
      <w:bookmarkEnd w:id="23"/>
    </w:p>
    <w:p>
      <w:pPr>
        <w:pStyle w:val="FirstParagraph"/>
      </w:pPr>
      <w:r>
        <w:t xml:space="preserve">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 300),</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 50).</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Trophic level</w:t>
                  </w:r>
                </w:p>
              </w:tc>
              <w:tc>
                <w:tcPr/>
                <w:p>
                  <w:pPr>
                    <w:pStyle w:val="Compact"/>
                    <w:jc w:val="left"/>
                    <w:jc w:val="center"/>
                  </w:pPr>
                  <m:oMath>
                    <m:r>
                      <m:t>μ</m:t>
                    </m:r>
                  </m:oMath>
                </w:p>
              </w:tc>
              <w:tc>
                <w:tcPr/>
                <w:p>
                  <w:pPr>
                    <w:pStyle w:val="Compact"/>
                    <w:jc w:val="left"/>
                    <w:jc w:val="center"/>
                  </w:pPr>
                  <m:oMath>
                    <m:r>
                      <m:t>σ</m:t>
                    </m:r>
                  </m:oMath>
                </w:p>
              </w:tc>
            </w:tr>
            <w:tr>
              <w:tc>
                <w:tcPr/>
                <w:p>
                  <w:pPr>
                    <w:pStyle w:val="Compact"/>
                    <w:jc w:val="left"/>
                    <w:jc w:val="center"/>
                  </w:pPr>
                  <w:r>
                    <w:t xml:space="preserve">Plant</w:t>
                  </w:r>
                </w:p>
              </w:tc>
              <w:tc>
                <w:tcPr/>
                <w:p>
                  <w:pPr>
                    <w:pStyle w:val="Compact"/>
                    <w:jc w:val="left"/>
                    <w:jc w:val="center"/>
                  </w:pPr>
                  <w:r>
                    <w:t xml:space="preserve">0.3</w:t>
                  </w:r>
                </w:p>
              </w:tc>
              <w:tc>
                <w:tcPr/>
                <w:p>
                  <w:pPr>
                    <w:pStyle w:val="Compact"/>
                    <w:jc w:val="left"/>
                    <w:jc w:val="center"/>
                  </w:pPr>
                  <w:r>
                    <w:t xml:space="preserve">0.075</w:t>
                  </w:r>
                </w:p>
              </w:tc>
            </w:tr>
            <w:tr>
              <w:tc>
                <w:tcPr/>
                <w:p>
                  <w:pPr>
                    <w:pStyle w:val="Compact"/>
                    <w:jc w:val="left"/>
                    <w:jc w:val="center"/>
                  </w:pPr>
                  <w:r>
                    <w:t xml:space="preserve">Herbivore</w:t>
                  </w:r>
                </w:p>
              </w:tc>
              <w:tc>
                <w:tcPr/>
                <w:p>
                  <w:pPr>
                    <w:pStyle w:val="Compact"/>
                    <w:jc w:val="left"/>
                    <w:jc w:val="center"/>
                  </w:pPr>
                  <w:r>
                    <w:t xml:space="preserve">0.2</w:t>
                  </w:r>
                </w:p>
              </w:tc>
              <w:tc>
                <w:tcPr/>
                <w:p>
                  <w:pPr>
                    <w:pStyle w:val="Compact"/>
                    <w:jc w:val="left"/>
                    <w:jc w:val="center"/>
                  </w:pPr>
                  <w:r>
                    <w:t xml:space="preserve">0.05</w:t>
                  </w:r>
                </w:p>
              </w:tc>
            </w:tr>
            <w:tr>
              <w:tc>
                <w:tcPr/>
                <w:p>
                  <w:pPr>
                    <w:pStyle w:val="Compact"/>
                    <w:jc w:val="left"/>
                    <w:jc w:val="center"/>
                  </w:pPr>
                  <w:r>
                    <w:t xml:space="preserve">Carnivore</w:t>
                  </w:r>
                </w:p>
              </w:tc>
              <w:tc>
                <w:tcPr/>
                <w:p>
                  <w:pPr>
                    <w:pStyle w:val="Compact"/>
                    <w:jc w:val="left"/>
                    <w:jc w:val="center"/>
                  </w:pPr>
                  <w:r>
                    <w:t xml:space="preserve">0.1</w:t>
                  </w:r>
                </w:p>
              </w:tc>
              <w:tc>
                <w:tcPr/>
                <w:p>
                  <w:pPr>
                    <w:pStyle w:val="Compact"/>
                    <w:jc w:val="left"/>
                    <w:jc w:val="center"/>
                  </w:pPr>
                  <w:r>
                    <w:t xml:space="preserve">0.025</w:t>
                  </w:r>
                </w:p>
              </w:tc>
            </w:tr>
          </w:tbl>
          <w:bookmarkEnd w:id="25"/>
          <w:p/>
        </w:tc>
      </w:tr>
    </w:tbl>
    <w:bookmarkEnd w:id="26"/>
    <w:bookmarkStart w:id="27" w:name="conclusion"/>
    <w:p>
      <w:pPr>
        <w:pStyle w:val="Heading2"/>
      </w:pPr>
      <w:r>
        <w:t xml:space="preserve">3 Conclusion</w:t>
      </w:r>
    </w:p>
    <w:bookmarkEnd w:id="27"/>
    <w:bookmarkStart w:id="3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31" w:name="refs"/>
    <w:bookmarkStart w:id="30" w:name="ref-Thompson2017Dispersala"/>
    <w:p>
      <w:pPr>
        <w:pStyle w:val="Bibliography"/>
      </w:pPr>
      <w:r>
        <w:t xml:space="preserve">Thompson, Patrick L., and Andrew Gonzalez. 2017.</w:t>
      </w:r>
      <w:r>
        <w:t xml:space="preserve"> </w:t>
      </w:r>
      <w:r>
        <w:t xml:space="preserve">“Dispersal Governs the Reorganization of Ecological Networks Under Environmental Change.”</w:t>
      </w:r>
      <w:r>
        <w:t xml:space="preserve"> </w:t>
      </w:r>
      <w:r>
        <w:rPr>
          <w:iCs/>
          <w:i/>
        </w:rPr>
        <w:t xml:space="preserve">Nature Ecology &amp; Evolution</w:t>
      </w:r>
      <w:r>
        <w:t xml:space="preserve"> </w:t>
      </w:r>
      <w:r>
        <w:t xml:space="preserve">1 (6).</w:t>
      </w:r>
      <w:r>
        <w:t xml:space="preserve"> </w:t>
      </w:r>
      <w:hyperlink r:id="rId29">
        <w:r>
          <w:rPr>
            <w:rStyle w:val="Hyperlink"/>
          </w:rPr>
          <w:t xml:space="preserve">https://doi.org/10.1038/s41559-017-0162</w:t>
        </w:r>
      </w:hyperlink>
      <w:r>
        <w:t xml:space="preserve">.</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PoisotLab.github.io/ms_womble_ya_net/index.qmd.html" TargetMode="External" /><Relationship Type="http://schemas.openxmlformats.org/officeDocument/2006/relationships/hyperlink" Id="rId29" Target="https://doi.org/10.1038/s41559-017-0162" TargetMode="External" /></Relationships>
</file>

<file path=word/_rels/footnotes.xml.rels><?xml version="1.0" encoding="UTF-8"?><Relationships xmlns="http://schemas.openxmlformats.org/package/2006/relationships"><Relationship Type="http://schemas.openxmlformats.org/officeDocument/2006/relationships/hyperlink" Id="rId28" Target="https://PoisotLab.github.io/ms_womble_ya_net/index.qmd.html" TargetMode="External" /><Relationship Type="http://schemas.openxmlformats.org/officeDocument/2006/relationships/hyperlink" Id="rId29" Target="https://doi.org/10.1038/s41559-017-01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2024-01-31T12:02:26Z</dcterms:created>
  <dcterms:modified xsi:type="dcterms:W3CDTF">2024-01-31T12:02:26Z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2024-01-31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