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2024-03-13</w:t>
      </w:r>
    </w:p>
    <w:p>
      <w:pPr>
        <w:pStyle w:val="AbstractTitle"/>
      </w:pPr>
      <w:r>
        <w:t xml:space="preserve">Abstract</w:t>
      </w:r>
    </w:p>
    <w:p>
      <w:pPr>
        <w:pStyle w:val="Abstract"/>
      </w:pPr>
      <w:r>
        <w:t xml:space="preserve">TODO</w:t>
      </w:r>
    </w:p>
    <w:bookmarkStart w:id="20" w:name="introduction"/>
    <w:p>
      <w:pPr>
        <w:pStyle w:val="Heading2"/>
      </w:pPr>
      <w:r>
        <w:t xml:space="preserve">1 Introduction</w:t>
      </w:r>
    </w:p>
    <w:bookmarkEnd w:id="20"/>
    <w:bookmarkStart w:id="31"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model used broadly follows the metacommunity model developed by</w:t>
      </w:r>
      <w:r>
        <w:t xml:space="preserve"> </w:t>
      </w:r>
      <w:r>
        <w:t xml:space="preserve">Thompson and Gonzalez (2017)</w:t>
      </w:r>
      <w:r>
        <w:t xml:space="preserve">.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essentially a collection of modified Lotka–Volterra equations, this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in the landscape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determined by the trophic level of each species and is drawn from a uniform distribution. The ranges for each combination of species pairs listed in</w:t>
      </w:r>
      <w:r>
        <w:t xml:space="preserve"> </w:t>
      </w:r>
      <w:hyperlink w:anchor="tbl-interaction_strength">
        <w:r>
          <w:rPr>
            <w:rStyle w:val="Hyperlink"/>
          </w:rPr>
          <w:t xml:space="preserve">Table 1</w:t>
        </w:r>
      </w:hyperlink>
      <w:r>
        <w:t xml:space="preserve">, the values that are drawn from the uniform distribution are then scaled by dividing by</w:t>
      </w:r>
      <w:r>
        <w:t xml:space="preserve"> </w:t>
      </w:r>
      <m:oMath>
        <m:r>
          <m:t>0.33</m:t>
        </m:r>
        <m:r>
          <m:t>S</m:t>
        </m:r>
      </m:oMath>
      <w:r>
        <w:t xml:space="preserve"> </w:t>
      </w:r>
      <w:r>
        <w:t xml:space="preserve">to yield the final interaction strength for each interacting pair.</w:t>
      </w:r>
    </w:p>
    <w:tbl>
      <w:tblPr>
        <w:tblStyle w:val="Table"/>
        <w:tblW w:type="pct" w:w="5000"/>
        <w:jc w:val="left"/>
        <w:tblLayout w:type="fixed"/>
        <w:tblLook w:firstRow="0" w:lastRow="0" w:firstColumn="0" w:lastColumn="0" w:noHBand="0" w:noVBand="0" w:val="0000"/>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
                <w:iCs/>
              </w:rPr>
              <w:t xml:space="preserve">i.e.,</w:t>
            </w:r>
            <w:r>
              <w:t xml:space="preserve"> </w:t>
            </w:r>
            <w:r>
              <w:t xml:space="preserve">herbivore-plant represents the effect of a herbivore species on a plant species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d>
            <m:dPr>
              <m:begChr m:val="("/>
              <m:endChr m:val=")"/>
              <m:sepChr m:val=""/>
              <m:grow/>
            </m:dPr>
            <m:e>
              <m:r>
                <m:t>h</m:t>
              </m:r>
              <m:r>
                <m:rPr>
                  <m:sty m:val="p"/>
                </m:rPr>
                <m:t>×</m:t>
              </m:r>
              <m:f>
                <m:fPr>
                  <m:type m:val="bar"/>
                </m:fPr>
                <m:num>
                  <m:r>
                    <m:t>1</m:t>
                  </m:r>
                </m:num>
                <m:den>
                  <m:r>
                    <m:t>σ</m:t>
                  </m:r>
                  <m:rad>
                    <m:radPr>
                      <m:degHide m:val="on"/>
                    </m:radPr>
                    <m:deg/>
                    <m:e>
                      <m:r>
                        <m:t>2</m:t>
                      </m:r>
                      <m:r>
                        <m:t>π</m:t>
                      </m:r>
                    </m:e>
                  </m:rad>
                </m:den>
              </m:f>
            </m:e>
          </m:d>
          <m:r>
            <m:rPr>
              <m:sty m:val="p"/>
            </m:rPr>
            <m:t>×</m:t>
          </m:r>
          <m:d>
            <m:dPr>
              <m:begChr m:val="("/>
              <m:endChr m:val=")"/>
              <m:sepChr m:val=""/>
              <m:grow/>
            </m:dPr>
            <m:e>
              <m:sSup>
                <m:e>
                  <m:r>
                    <m:t>e</m:t>
                  </m:r>
                </m:e>
                <m:sup>
                  <m:r>
                    <m:rPr>
                      <m:sty m:val="p"/>
                    </m:rPr>
                    <m:t>−</m:t>
                  </m:r>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r>
                    <m:rPr>
                      <m:sty m:val="p"/>
                    </m:rPr>
                    <m:t>/</m:t>
                  </m:r>
                  <m:sSup>
                    <m:e>
                      <m:r>
                        <m:t>2</m:t>
                      </m:r>
                      <m:r>
                        <m:t>σ</m:t>
                      </m:r>
                    </m:e>
                    <m:sup>
                      <m:r>
                        <m:t>2</m:t>
                      </m:r>
                    </m:sup>
                  </m:sSup>
                </m:sup>
              </m:sSup>
              <m:r>
                <m:rPr>
                  <m:sty m:val="p"/>
                </m:rPr>
                <m:t>−</m:t>
              </m:r>
              <m:r>
                <m:t>1</m:t>
              </m:r>
            </m:e>
          </m:d>
          <m:r>
            <m:t>  </m:t>
          </m:r>
          <m:d>
            <m:dPr>
              <m:begChr m:val="("/>
              <m:endChr m:val=")"/>
              <m:sepChr m:val=""/>
              <m:grow/>
            </m:dPr>
            <m:e>
              <m:r>
                <m:t>2</m:t>
              </m:r>
            </m:e>
          </m:d>
        </m:oMath>
      </m:oMathPara>
      <w:bookmarkEnd w:id="23"/>
    </w:p>
    <w:p>
      <w:pPr>
        <w:pStyle w:val="FirstParagraph"/>
      </w:pPr>
      <w:r>
        <w:t xml:space="preserve">Where the 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w:t>
      </w:r>
      <w:r>
        <w:t xml:space="preserve"> </w:t>
      </w:r>
      <w:r>
        <w:rPr>
          <w:b/>
          <w:bCs/>
        </w:rPr>
        <w:t xml:space="preserve">50</w:t>
      </w:r>
      <w:r>
        <w:t xml:space="preserve">),</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w:t>
      </w:r>
      <w:r>
        <w:t xml:space="preserve"> </w:t>
      </w:r>
      <w:r>
        <w:rPr>
          <w:b/>
          <w:bCs/>
        </w:rPr>
        <w:t xml:space="preserve">50</w:t>
      </w:r>
      <w:r>
        <w:t xml:space="preserve">).</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jc w:val="left"/>
        <w:tblLayout w:type="fixed"/>
        <w:tblLook w:firstRow="0" w:lastRow="0" w:firstColumn="0" w:lastColumn="0" w:noHBand="0" w:noVBand="0" w:val="0000"/>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8" w:name="generating-networks"/>
    <w:p>
      <w:pPr>
        <w:pStyle w:val="Heading3"/>
      </w:pPr>
      <w:r>
        <w:t xml:space="preserve">2.2 Generating networks</w:t>
      </w:r>
    </w:p>
    <w:p>
      <w:pPr>
        <w:pStyle w:val="FirstParagraph"/>
      </w:pPr>
      <w:r>
        <w:t xml:space="preserve">In order to create a final community state the species are allowed to persist for a total of 2000 generations. These generations are broken down into three</w:t>
      </w:r>
      <w:r>
        <w:t xml:space="preserve"> </w:t>
      </w:r>
      <w:r>
        <w:t xml:space="preserve">‘</w:t>
      </w:r>
      <w:r>
        <w:t xml:space="preserve">phases</w:t>
      </w:r>
      <w:r>
        <w:t xml:space="preserve">’</w:t>
      </w:r>
      <w:r>
        <w:t xml:space="preserve"> </w:t>
      </w:r>
      <w:r>
        <w:t xml:space="preserve">the first is the</w:t>
      </w:r>
      <w:r>
        <w:t xml:space="preserve"> </w:t>
      </w:r>
      <w:r>
        <w:t xml:space="preserve">‘</w:t>
      </w:r>
      <w:r>
        <w:t xml:space="preserve">proofing</w:t>
      </w:r>
      <w:r>
        <w:t xml:space="preserve">’</w:t>
      </w:r>
      <w:r>
        <w:t xml:space="preserve"> </w:t>
      </w:r>
      <w:r>
        <w:t xml:space="preserve">phase where the environment is uniform throughout the landscape (meaning that all species are at their environmental optimum) for 500 generations. After this the environment is</w:t>
      </w:r>
      <w:r>
        <w:t xml:space="preserve"> </w:t>
      </w:r>
      <w:r>
        <w:t xml:space="preserve">‘</w:t>
      </w:r>
      <w:r>
        <w:t xml:space="preserve">heated</w:t>
      </w:r>
      <w:r>
        <w:t xml:space="preserve">’</w:t>
      </w:r>
      <w:r>
        <w:t xml:space="preserve"> </w:t>
      </w:r>
      <w:r>
        <w:t xml:space="preserve">incrementally until it reaches its</w:t>
      </w:r>
      <w:r>
        <w:t xml:space="preserve"> </w:t>
      </w:r>
      <w:r>
        <w:t xml:space="preserve">‘</w:t>
      </w:r>
      <w:r>
        <w:t xml:space="preserve">final state</w:t>
      </w:r>
      <w:r>
        <w:t xml:space="preserve">’</w:t>
      </w:r>
      <w:r>
        <w:t xml:space="preserve">, the environmental optimum of each species is also adjusted as the environmental values begin to change. This occurs over a period of 1 000 generations. The landscape is then held stable for a further 500 generations until an equilibrium is reached. The final state of the landscape is predetermined and is defined by the diamond-square algorithm (this produces fractals with variable spatial autocorrelation) which is generated using</w:t>
      </w:r>
      <w:r>
        <w:t xml:space="preserve"> </w:t>
      </w:r>
      <w:r>
        <w:rPr>
          <w:rStyle w:val="VerbatimChar"/>
        </w:rPr>
        <w:t xml:space="preserve">NeutralLandscapes.jl</w:t>
      </w:r>
      <w:r>
        <w:t xml:space="preserve"> </w:t>
      </w:r>
      <w:r>
        <w:t xml:space="preserve">(Catchen 2023)</w:t>
      </w:r>
      <w:r>
        <w:t xml:space="preserve">, here we vary the degree of landscape heterogeneity by</w:t>
      </w:r>
      <w:r>
        <w:t xml:space="preserve"> </w:t>
      </w:r>
      <w:r>
        <w:rPr>
          <w:b/>
          <w:bCs/>
        </w:rPr>
        <w:t xml:space="preserve">TODO</w:t>
      </w:r>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27" w:name="tbl-model_params"/>
          <w:p>
            <w:pPr>
              <w:jc w:val="center"/>
            </w:pPr>
            <w:pPr>
              <w:jc w:val="start"/>
              <w:spacing w:before="200"/>
              <w:pStyle w:val="ImageCaption"/>
            </w:pPr>
            <w:r>
              <w:t xml:space="preserve">Table 3: Starting parameters for the model.</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Parameter</w:t>
                  </w:r>
                </w:p>
              </w:tc>
              <w:tc>
                <w:tcPr/>
                <w:p>
                  <w:pPr>
                    <w:pStyle w:val="Compact"/>
                    <w:jc w:val="center"/>
                    <w:jc w:val="center"/>
                  </w:pPr>
                  <w:r>
                    <w:t xml:space="preserve">Value</w:t>
                  </w:r>
                </w:p>
              </w:tc>
            </w:tr>
            <w:tr>
              <w:tc>
                <w:tcPr/>
                <w:p>
                  <w:pPr>
                    <w:pStyle w:val="Compact"/>
                    <w:jc w:val="left"/>
                    <w:jc w:val="center"/>
                  </w:pPr>
                  <m:oMath>
                    <m:r>
                      <m:t>S</m:t>
                    </m:r>
                  </m:oMath>
                </w:p>
              </w:tc>
              <w:tc>
                <w:tcPr/>
                <w:p>
                  <w:pPr>
                    <w:pStyle w:val="Compact"/>
                    <w:jc w:val="center"/>
                    <w:jc w:val="center"/>
                  </w:pPr>
                  <w:r>
                    <w:t xml:space="preserve">100</w:t>
                  </w:r>
                </w:p>
              </w:tc>
            </w:tr>
            <w:tr>
              <w:tc>
                <w:tcPr/>
                <w:p>
                  <w:pPr>
                    <w:pStyle w:val="Compact"/>
                    <w:jc w:val="left"/>
                    <w:jc w:val="center"/>
                  </w:pPr>
                  <m:oMath>
                    <m:r>
                      <m:t>M</m:t>
                    </m:r>
                  </m:oMath>
                </w:p>
              </w:tc>
              <w:tc>
                <w:tcPr/>
                <w:p>
                  <w:pPr>
                    <w:pStyle w:val="Compact"/>
                    <w:jc w:val="center"/>
                    <w:jc w:val="center"/>
                  </w:pPr>
                  <w:r>
                    <w:t xml:space="preserve">26*26</w:t>
                  </w:r>
                </w:p>
              </w:tc>
            </w:tr>
            <w:tr>
              <w:tc>
                <w:tcPr/>
                <w:p>
                  <w:pPr>
                    <w:pStyle w:val="Compact"/>
                    <w:jc w:val="left"/>
                    <w:jc w:val="center"/>
                  </w:pPr>
                  <m:oMath>
                    <m:sSub>
                      <m:e>
                        <m:r>
                          <m:t>E</m:t>
                        </m:r>
                      </m:e>
                      <m:sub>
                        <m:r>
                          <m:t>i</m:t>
                        </m:r>
                        <m:r>
                          <m:t>n</m:t>
                        </m:r>
                        <m:r>
                          <m:t>i</m:t>
                        </m:r>
                        <m:r>
                          <m:t>t</m:t>
                        </m:r>
                        <m:r>
                          <m:t>i</m:t>
                        </m:r>
                        <m:r>
                          <m:t>a</m:t>
                        </m:r>
                        <m:r>
                          <m:t>l</m:t>
                        </m:r>
                      </m:sub>
                    </m:sSub>
                  </m:oMath>
                </w:p>
              </w:tc>
              <w:tc>
                <w:tcPr/>
                <w:p>
                  <w:pPr>
                    <w:pStyle w:val="Compact"/>
                    <w:jc w:val="center"/>
                    <w:jc w:val="center"/>
                  </w:pPr>
                  <w:r>
                    <w:t xml:space="preserve">40</w:t>
                  </w:r>
                </w:p>
              </w:tc>
            </w:tr>
            <w:tr>
              <w:tc>
                <w:tcPr/>
                <w:p>
                  <w:pPr>
                    <w:pStyle w:val="Compact"/>
                    <w:jc w:val="left"/>
                    <w:jc w:val="center"/>
                  </w:pPr>
                  <m:oMath>
                    <m:sSub>
                      <m:e>
                        <m:r>
                          <m:t>A</m:t>
                        </m:r>
                      </m:e>
                      <m:sub>
                        <m:r>
                          <m:t>i</m:t>
                        </m:r>
                        <m:r>
                          <m:t>n</m:t>
                        </m:r>
                        <m:r>
                          <m:t>i</m:t>
                        </m:r>
                        <m:r>
                          <m:t>t</m:t>
                        </m:r>
                        <m:r>
                          <m:t>i</m:t>
                        </m:r>
                        <m:r>
                          <m:t>a</m:t>
                        </m:r>
                        <m:r>
                          <m:t>l</m:t>
                        </m:r>
                      </m:sub>
                    </m:sSub>
                  </m:oMath>
                </w:p>
              </w:tc>
              <w:tc>
                <w:tcPr/>
                <w:p>
                  <w:pPr>
                    <w:pStyle w:val="Compact"/>
                    <w:jc w:val="center"/>
                    <w:jc w:val="center"/>
                  </w:pPr>
                  <w:r>
                    <w:t xml:space="preserve">0.01</w:t>
                  </w:r>
                </w:p>
              </w:tc>
            </w:tr>
          </w:tbl>
          <w:bookmarkEnd w:id="27"/>
          <w:p/>
        </w:tc>
      </w:tr>
    </w:tbl>
    <w:bookmarkEnd w:id="28"/>
    <w:bookmarkStart w:id="30"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indication how steep the gradient (</w:t>
      </w:r>
      <m:oMath>
        <m:r>
          <m:t>m</m:t>
        </m:r>
      </m:oMath>
      <w:r>
        <w:t xml:space="preserve">) is between neighbouring cells as well as the direction (</w:t>
      </w:r>
      <m:oMath>
        <m:r>
          <m:t>θ</m:t>
        </m:r>
      </m:oMath>
      <w:r>
        <w:t xml:space="preserve">) of the slope.</w:t>
      </w:r>
    </w:p>
    <w:p>
      <w:pPr>
        <w:pStyle w:val="BodyText"/>
      </w:pPr>
      <w:bookmarkStart w:id="29"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9"/>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documentation provides a more detailed breakdown of the underlying methodology.</w:t>
      </w:r>
    </w:p>
    <w:bookmarkEnd w:id="30"/>
    <w:bookmarkEnd w:id="31"/>
    <w:bookmarkStart w:id="32" w:name="conclusion"/>
    <w:p>
      <w:pPr>
        <w:pStyle w:val="Heading2"/>
      </w:pPr>
      <w:r>
        <w:t xml:space="preserve">3 Conclusion</w:t>
      </w:r>
    </w:p>
    <w:bookmarkEnd w:id="32"/>
    <w:bookmarkStart w:id="40"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9" w:name="refs"/>
    <w:bookmarkStart w:id="34" w:name="X18416278bb32517158facd95093aa32702f38f9"/>
    <w:p>
      <w:pPr>
        <w:pStyle w:val="Bibliography"/>
      </w:pPr>
      <w:r>
        <w:t xml:space="preserve">Catchen, Michael D. 2023.</w:t>
      </w:r>
      <w:r>
        <w:t xml:space="preserve"> </w:t>
      </w:r>
      <w:r>
        <w:t xml:space="preserve">“</w:t>
      </w:r>
      <w:r>
        <w:t xml:space="preserve">EcoJulia</w:t>
      </w:r>
      <w:r>
        <w:t xml:space="preserve">/</w:t>
      </w:r>
      <w:r>
        <w:t xml:space="preserve">NeutralLandscapes</w:t>
      </w:r>
      <w:r>
        <w:t xml:space="preserve">.jl.”</w:t>
      </w:r>
      <w:r>
        <w:t xml:space="preserve"> </w:t>
      </w:r>
      <w:r>
        <w:t xml:space="preserve">EcoJulia.</w:t>
      </w:r>
    </w:p>
    <w:bookmarkEnd w:id="34"/>
    <w:bookmarkStart w:id="36" w:name="ref-strydomSpatialBoundariesJlEdge2023"/>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
          <w:iCs/>
        </w:rPr>
        <w:t xml:space="preserve">Ecography</w:t>
      </w:r>
      <w:r>
        <w:t xml:space="preserve"> </w:t>
      </w:r>
      <w:r>
        <w:t xml:space="preserve">2023 (5): e06609.</w:t>
      </w:r>
      <w:r>
        <w:t xml:space="preserve"> </w:t>
      </w:r>
      <w:hyperlink r:id="rId35">
        <w:r>
          <w:rPr>
            <w:rStyle w:val="Hyperlink"/>
          </w:rPr>
          <w:t xml:space="preserve">https://doi.org/10.1111/ecog.06609</w:t>
        </w:r>
      </w:hyperlink>
      <w:r>
        <w:t xml:space="preserve">.</w:t>
      </w:r>
    </w:p>
    <w:bookmarkEnd w:id="36"/>
    <w:bookmarkStart w:id="38" w:name="X46367e3fcb4d7bcb91c5291f79c7a2bd6a0012f"/>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
          <w:iCs/>
        </w:rPr>
        <w:t xml:space="preserve">Nature Ecology &amp; Evolution</w:t>
      </w:r>
      <w:r>
        <w:t xml:space="preserve"> </w:t>
      </w:r>
      <w:r>
        <w:t xml:space="preserve">1 (6): 0162.</w:t>
      </w:r>
      <w:r>
        <w:t xml:space="preserve"> </w:t>
      </w:r>
      <w:hyperlink r:id="rId37">
        <w:r>
          <w:rPr>
            <w:rStyle w:val="Hyperlink"/>
          </w:rPr>
          <w:t xml:space="preserve">https://doi.org/10.1038/s41559-017-0162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3" Target="https://PoisotLab.github.io/ms_womble_ya_net/index.qmd.html" TargetMode="External" /><Relationship Type="http://schemas.openxmlformats.org/officeDocument/2006/relationships/hyperlink" Id="rId37" Target="https://doi.org/10.1038/s41559-017-0162" TargetMode="External" /><Relationship Type="http://schemas.openxmlformats.org/officeDocument/2006/relationships/hyperlink" Id="rId35"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2024-03-13T18:34:36Z</dcterms:created>
  <dcterms:modified xsi:type="dcterms:W3CDTF">2024-03-13T18:34:36Z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