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Omnomnomnivores</w:t>
      </w:r>
    </w:p>
    <w:p>
      <w:pPr>
        <w:pStyle w:val="Author"/>
      </w:pPr>
      <w:r>
        <w:t xml:space="preserve">Tanya</w:t>
      </w:r>
      <w:r>
        <w:t xml:space="preserve"> </w:t>
      </w:r>
      <w:r>
        <w:t xml:space="preserve">Strydom</w:t>
      </w:r>
    </w:p>
    <w:p>
      <w:pPr>
        <w:pStyle w:val="Author"/>
      </w:pPr>
      <w:r>
        <w:t xml:space="preserve">Timothée</w:t>
      </w:r>
      <w:r>
        <w:t xml:space="preserve"> </w:t>
      </w:r>
      <w:r>
        <w:t xml:space="preserve">Poisot</w:t>
      </w:r>
    </w:p>
    <w:p>
      <w:pPr>
        <w:pStyle w:val="Date"/>
      </w:pPr>
      <w:r>
        <w:t xml:space="preserve">2024-02-05</w:t>
      </w:r>
    </w:p>
    <w:p>
      <w:pPr>
        <w:pStyle w:val="AbstractTitle"/>
      </w:pPr>
      <w:r>
        <w:t xml:space="preserve">Abstract</w:t>
      </w:r>
    </w:p>
    <w:p>
      <w:pPr>
        <w:pStyle w:val="Abstract"/>
      </w:pPr>
      <w:r>
        <w:t xml:space="preserve">In</w:t>
      </w:r>
      <w:r>
        <w:t xml:space="preserve"> </w:t>
      </w:r>
      <w:r>
        <w:t xml:space="preserve">September</w:t>
      </w:r>
      <w:r>
        <w:t xml:space="preserve"> </w:t>
      </w:r>
      <w:r>
        <w:t xml:space="preserve">2021,</w:t>
      </w:r>
      <w:r>
        <w:t xml:space="preserve"> </w:t>
      </w:r>
      <w:r>
        <w:t xml:space="preserve">a</w:t>
      </w:r>
      <w:r>
        <w:t xml:space="preserve"> </w:t>
      </w:r>
      <w:r>
        <w:t xml:space="preserve">significant</w:t>
      </w:r>
      <w:r>
        <w:t xml:space="preserve"> </w:t>
      </w:r>
      <w:r>
        <w:t xml:space="preserve">jump</w:t>
      </w:r>
      <w:r>
        <w:t xml:space="preserve"> </w:t>
      </w:r>
      <w:r>
        <w:t xml:space="preserve">in</w:t>
      </w:r>
      <w:r>
        <w:t xml:space="preserve"> </w:t>
      </w:r>
      <w:r>
        <w:t xml:space="preserve">seismic</w:t>
      </w:r>
      <w:r>
        <w:t xml:space="preserve"> </w:t>
      </w:r>
      <w:r>
        <w:t xml:space="preserve">activity</w:t>
      </w:r>
      <w:r>
        <w:t xml:space="preserve"> </w:t>
      </w:r>
      <w:r>
        <w:t xml:space="preserve">on</w:t>
      </w:r>
      <w:r>
        <w:t xml:space="preserve"> </w:t>
      </w:r>
      <w:r>
        <w:t xml:space="preserve">the</w:t>
      </w:r>
      <w:r>
        <w:t xml:space="preserve"> </w:t>
      </w:r>
      <w:r>
        <w:t xml:space="preserve">island</w:t>
      </w:r>
      <w:r>
        <w:t xml:space="preserve"> </w:t>
      </w:r>
      <w:r>
        <w:t xml:space="preserve">of</w:t>
      </w:r>
      <w:r>
        <w:t xml:space="preserve"> </w:t>
      </w:r>
      <w:r>
        <w:t xml:space="preserve">La</w:t>
      </w:r>
      <w:r>
        <w:t xml:space="preserve"> </w:t>
      </w:r>
      <w:r>
        <w:t xml:space="preserve">Palma</w:t>
      </w:r>
      <w:r>
        <w:t xml:space="preserve"> </w:t>
      </w:r>
      <w:r>
        <w:t xml:space="preserve">(Canary</w:t>
      </w:r>
      <w:r>
        <w:t xml:space="preserve"> </w:t>
      </w:r>
      <w:r>
        <w:t xml:space="preserve">Islands,</w:t>
      </w:r>
      <w:r>
        <w:t xml:space="preserve"> </w:t>
      </w:r>
      <w:r>
        <w:t xml:space="preserve">Spain)</w:t>
      </w:r>
      <w:r>
        <w:t xml:space="preserve"> </w:t>
      </w:r>
      <w:r>
        <w:t xml:space="preserve">signaled</w:t>
      </w:r>
      <w:r>
        <w:t xml:space="preserve"> </w:t>
      </w:r>
      <w:r>
        <w:t xml:space="preserve">the</w:t>
      </w:r>
      <w:r>
        <w:t xml:space="preserve"> </w:t>
      </w:r>
      <w:r>
        <w:t xml:space="preserve">start</w:t>
      </w:r>
      <w:r>
        <w:t xml:space="preserve"> </w:t>
      </w:r>
      <w:r>
        <w:t xml:space="preserve">of</w:t>
      </w:r>
      <w:r>
        <w:t xml:space="preserve"> </w:t>
      </w:r>
      <w:r>
        <w:t xml:space="preserve">a</w:t>
      </w:r>
      <w:r>
        <w:t xml:space="preserve"> </w:t>
      </w:r>
      <w:r>
        <w:t xml:space="preserve">volcanic</w:t>
      </w:r>
      <w:r>
        <w:t xml:space="preserve"> </w:t>
      </w:r>
      <w:r>
        <w:t xml:space="preserve">crisis</w:t>
      </w:r>
      <w:r>
        <w:t xml:space="preserve"> </w:t>
      </w:r>
      <w:r>
        <w:t xml:space="preserve">that</w:t>
      </w:r>
      <w:r>
        <w:t xml:space="preserve"> </w:t>
      </w:r>
      <w:r>
        <w:t xml:space="preserve">still</w:t>
      </w:r>
      <w:r>
        <w:t xml:space="preserve"> </w:t>
      </w:r>
      <w:r>
        <w:t xml:space="preserve">continues</w:t>
      </w:r>
      <w:r>
        <w:t xml:space="preserve"> </w:t>
      </w:r>
      <w:r>
        <w:t xml:space="preserve">at</w:t>
      </w:r>
      <w:r>
        <w:t xml:space="preserve"> </w:t>
      </w:r>
      <w:r>
        <w:t xml:space="preserve">the</w:t>
      </w:r>
      <w:r>
        <w:t xml:space="preserve"> </w:t>
      </w:r>
      <w:r>
        <w:t xml:space="preserve">time</w:t>
      </w:r>
      <w:r>
        <w:t xml:space="preserve"> </w:t>
      </w:r>
      <w:r>
        <w:t xml:space="preserve">of</w:t>
      </w:r>
      <w:r>
        <w:t xml:space="preserve"> </w:t>
      </w:r>
      <w:r>
        <w:t xml:space="preserve">writing.</w:t>
      </w:r>
      <w:r>
        <w:t xml:space="preserve"> </w:t>
      </w:r>
      <w:r>
        <w:t xml:space="preserve">Earthquake</w:t>
      </w:r>
      <w:r>
        <w:t xml:space="preserve"> </w:t>
      </w:r>
      <w:r>
        <w:t xml:space="preserve">data</w:t>
      </w:r>
      <w:r>
        <w:t xml:space="preserve"> </w:t>
      </w:r>
      <w:r>
        <w:t xml:space="preserve">is</w:t>
      </w:r>
      <w:r>
        <w:t xml:space="preserve"> </w:t>
      </w:r>
      <w:r>
        <w:t xml:space="preserve">continually</w:t>
      </w:r>
      <w:r>
        <w:t xml:space="preserve"> </w:t>
      </w:r>
      <w:r>
        <w:t xml:space="preserve">collected</w:t>
      </w:r>
      <w:r>
        <w:t xml:space="preserve"> </w:t>
      </w:r>
      <w:r>
        <w:t xml:space="preserve">and</w:t>
      </w:r>
      <w:r>
        <w:t xml:space="preserve"> </w:t>
      </w:r>
      <w:r>
        <w:t xml:space="preserve">published</w:t>
      </w:r>
      <w:r>
        <w:t xml:space="preserve"> </w:t>
      </w:r>
      <w:r>
        <w:t xml:space="preserve">by</w:t>
      </w:r>
      <w:r>
        <w:t xml:space="preserve"> </w:t>
      </w:r>
      <w:r>
        <w:t xml:space="preserve">the</w:t>
      </w:r>
      <w:r>
        <w:t xml:space="preserve"> </w:t>
      </w:r>
      <w:r>
        <w:t xml:space="preserve">Instituto</w:t>
      </w:r>
      <w:r>
        <w:t xml:space="preserve"> </w:t>
      </w:r>
      <w:r>
        <w:t xml:space="preserve">Geográphico</w:t>
      </w:r>
      <w:r>
        <w:t xml:space="preserve"> </w:t>
      </w:r>
      <w:r>
        <w:t xml:space="preserve">Nacional</w:t>
      </w:r>
      <w:r>
        <w:t xml:space="preserve"> </w:t>
      </w:r>
      <w:r>
        <w:t xml:space="preserve">(IGN).</w:t>
      </w:r>
      <w:r>
        <w:t xml:space="preserve"> </w:t>
      </w:r>
      <w:r>
        <w:t xml:space="preserve">…</w:t>
      </w:r>
    </w:p>
    <w:bookmarkStart w:id="20" w:name="introduction"/>
    <w:p>
      <w:pPr>
        <w:pStyle w:val="Heading2"/>
      </w:pPr>
      <w:r>
        <w:t xml:space="preserve">1 Introduction</w:t>
      </w:r>
    </w:p>
    <w:bookmarkEnd w:id="20"/>
    <w:bookmarkStart w:id="30" w:name="sec-data-methods"/>
    <w:p>
      <w:pPr>
        <w:pStyle w:val="Heading2"/>
      </w:pPr>
      <w:r>
        <w:t xml:space="preserve">2 Data &amp; Methods</w:t>
      </w:r>
    </w:p>
    <w:bookmarkStart w:id="26" w:name="metacommunity-model"/>
    <w:p>
      <w:pPr>
        <w:pStyle w:val="Heading3"/>
      </w:pPr>
      <w:r>
        <w:t xml:space="preserve">2.1 Metacommunity model</w:t>
      </w:r>
    </w:p>
    <w:p>
      <w:pPr>
        <w:pStyle w:val="FirstParagraph"/>
      </w:pPr>
      <w:r>
        <w:t xml:space="preserve">The metacommunity model developed by</w:t>
      </w:r>
      <w:r>
        <w:t xml:space="preserve"> </w:t>
      </w:r>
      <w:r>
        <w:t xml:space="preserve">Thompson and Gonzalez (2017)</w:t>
      </w:r>
      <w:r>
        <w:t xml:space="preserve"> </w:t>
      </w:r>
      <w:r>
        <w:t xml:space="preserve">is a good starting point to use for this</w:t>
      </w:r>
      <w:r>
        <w:t xml:space="preserve"> </w:t>
      </w:r>
      <w:r>
        <w:t xml:space="preserve">‘</w:t>
      </w:r>
      <w:r>
        <w:t xml:space="preserve">case study</w:t>
      </w:r>
      <w:r>
        <w:t xml:space="preserve">’</w:t>
      </w:r>
      <w:r>
        <w:t xml:space="preserve"> </w:t>
      </w:r>
      <w:r>
        <w:t xml:space="preserve">as it allows us some flexibility with how we want to parameterise the system. The model (</w:t>
      </w:r>
      <w:hyperlink w:anchor="eq-metacomm">
        <w:r>
          <w:rPr>
            <w:rStyle w:val="Hyperlink"/>
          </w:rPr>
          <w:t xml:space="preserve">Equation 1</w:t>
        </w:r>
      </w:hyperlink>
      <w:r>
        <w:t xml:space="preserve">) itself is based on a tritrophic community (</w:t>
      </w:r>
      <w:r>
        <w:t xml:space="preserve">‘</w:t>
      </w:r>
      <w:r>
        <w:t xml:space="preserve">plants</w:t>
      </w:r>
      <w:r>
        <w:t xml:space="preserve">’</w:t>
      </w:r>
      <w:r>
        <w:t xml:space="preserve">,</w:t>
      </w:r>
      <w:r>
        <w:t xml:space="preserve"> </w:t>
      </w:r>
      <w:r>
        <w:t xml:space="preserve">‘</w:t>
      </w:r>
      <w:r>
        <w:t xml:space="preserve">herbivores</w:t>
      </w:r>
      <w:r>
        <w:t xml:space="preserve">’</w:t>
      </w:r>
      <w:r>
        <w:t xml:space="preserve">, and</w:t>
      </w:r>
      <w:r>
        <w:t xml:space="preserve"> </w:t>
      </w:r>
      <w:r>
        <w:t xml:space="preserve">‘</w:t>
      </w:r>
      <w:r>
        <w:t xml:space="preserve">carnivores</w:t>
      </w:r>
      <w:r>
        <w:t xml:space="preserve">’</w:t>
      </w:r>
      <w:r>
        <w:t xml:space="preserve">) and is a collection of modified Lotka–Volterra equations and (broadly) models species abundance as a function of interaction strength, environmental effect, immigration, and emigration. The metacommunity consists of</w:t>
      </w:r>
      <w:r>
        <w:t xml:space="preserve"> </w:t>
      </w:r>
      <m:oMath>
        <m:r>
          <m:t>S</m:t>
        </m:r>
      </m:oMath>
      <w:r>
        <w:t xml:space="preserve"> </w:t>
      </w:r>
      <w:r>
        <w:t xml:space="preserve">species with</w:t>
      </w:r>
      <w:r>
        <w:t xml:space="preserve"> </w:t>
      </w:r>
      <m:oMath>
        <m:r>
          <m:t>M</m:t>
        </m:r>
      </m:oMath>
      <w:r>
        <w:t xml:space="preserve"> </w:t>
      </w:r>
      <w:r>
        <w:t xml:space="preserve">environmental patches and looks as follows:</w:t>
      </w:r>
    </w:p>
    <w:p>
      <w:pPr>
        <w:pStyle w:val="BodyText"/>
      </w:pPr>
      <w:bookmarkStart w:id="21" w:name="eq-metacomm"/>
      <m:oMathPara>
        <m:oMathParaPr>
          <m:jc m:val="center"/>
        </m:oMathParaPr>
        <m:oMath>
          <m:sSub>
            <m:e>
              <m:r>
                <m:t>X</m:t>
              </m:r>
            </m:e>
            <m:sub>
              <m:r>
                <m:t>i</m:t>
              </m:r>
              <m:r>
                <m:t>j</m:t>
              </m:r>
            </m:sub>
          </m:sSub>
          <m:d>
            <m:dPr>
              <m:begChr m:val="("/>
              <m:endChr m:val=")"/>
              <m:sepChr m:val=""/>
              <m:grow/>
            </m:dPr>
            <m:e>
              <m:r>
                <m:t>t</m:t>
              </m:r>
              <m:r>
                <m:rPr>
                  <m:sty m:val="p"/>
                </m:rPr>
                <m:t>+</m:t>
              </m:r>
              <m:r>
                <m:t>1</m:t>
              </m:r>
            </m:e>
          </m:d>
          <m:r>
            <m:rPr>
              <m:sty m:val="p"/>
            </m:rPr>
            <m:t>=</m:t>
          </m:r>
          <m:sSub>
            <m:e>
              <m:r>
                <m:t>X</m:t>
              </m:r>
            </m:e>
            <m:sub>
              <m:r>
                <m:t>i</m:t>
              </m:r>
              <m:r>
                <m:t>j</m:t>
              </m:r>
            </m:sub>
          </m:sSub>
          <m:d>
            <m:dPr>
              <m:begChr m:val="("/>
              <m:endChr m:val=")"/>
              <m:sepChr m:val=""/>
              <m:grow/>
            </m:dPr>
            <m:e>
              <m:r>
                <m:t>t</m:t>
              </m:r>
            </m:e>
          </m:d>
          <m:r>
            <m:t>e</m:t>
          </m:r>
          <m:r>
            <m:t>x</m:t>
          </m:r>
          <m:r>
            <m:t>p</m:t>
          </m:r>
          <m:d>
            <m:dPr>
              <m:begChr m:val="["/>
              <m:endChr m:val="]"/>
              <m:sepChr m:val=""/>
              <m:grow/>
            </m:dPr>
            <m:e>
              <m:sSub>
                <m:e>
                  <m:r>
                    <m:t>C</m:t>
                  </m:r>
                </m:e>
                <m:sub>
                  <m:r>
                    <m:t>i</m:t>
                  </m:r>
                </m:sub>
              </m:sSub>
              <m:r>
                <m:rPr>
                  <m:sty m:val="p"/>
                </m:rPr>
                <m:t>+</m:t>
              </m:r>
              <m:nary>
                <m:naryPr>
                  <m:chr m:val="∑"/>
                  <m:limLoc m:val="undOvr"/>
                  <m:subHide m:val="off"/>
                  <m:supHide m:val="off"/>
                </m:naryPr>
                <m:sub>
                  <m:r>
                    <m:t>k</m:t>
                  </m:r>
                  <m:r>
                    <m:rPr>
                      <m:sty m:val="p"/>
                    </m:rPr>
                    <m:t>=</m:t>
                  </m:r>
                  <m:r>
                    <m:t>1</m:t>
                  </m:r>
                </m:sub>
                <m:sup>
                  <m:r>
                    <m:t>S</m:t>
                  </m:r>
                </m:sup>
                <m:e>
                  <m:sSub>
                    <m:e>
                      <m:r>
                        <m:t>B</m:t>
                      </m:r>
                    </m:e>
                    <m:sub>
                      <m:r>
                        <m:t>i</m:t>
                      </m:r>
                      <m:r>
                        <m:t>k</m:t>
                      </m:r>
                    </m:sub>
                  </m:sSub>
                </m:e>
              </m:nary>
              <m:sSub>
                <m:e>
                  <m:r>
                    <m:t>X</m:t>
                  </m:r>
                </m:e>
                <m:sub>
                  <m:r>
                    <m:t>k</m:t>
                  </m:r>
                  <m:r>
                    <m:t>j</m:t>
                  </m:r>
                </m:sub>
              </m:sSub>
              <m:d>
                <m:dPr>
                  <m:begChr m:val="("/>
                  <m:endChr m:val=")"/>
                  <m:sepChr m:val=""/>
                  <m:grow/>
                </m:dPr>
                <m:e>
                  <m:r>
                    <m:t>t</m:t>
                  </m:r>
                </m:e>
              </m:d>
              <m:r>
                <m:rPr>
                  <m:sty m:val="p"/>
                </m:rPr>
                <m:t>+</m:t>
              </m:r>
              <m:sSub>
                <m:e>
                  <m:r>
                    <m:t>A</m:t>
                  </m:r>
                </m:e>
                <m:sub>
                  <m:r>
                    <m:t>i</m:t>
                  </m:r>
                  <m:r>
                    <m:t>j</m:t>
                  </m:r>
                </m:sub>
              </m:sSub>
              <m:d>
                <m:dPr>
                  <m:begChr m:val="("/>
                  <m:endChr m:val=")"/>
                  <m:sepChr m:val=""/>
                  <m:grow/>
                </m:dPr>
                <m:e>
                  <m:r>
                    <m:t>t</m:t>
                  </m:r>
                </m:e>
              </m:d>
            </m:e>
          </m:d>
          <m:r>
            <m:rPr>
              <m:sty m:val="p"/>
            </m:rPr>
            <m:t>+</m:t>
          </m:r>
          <m:sSub>
            <m:e>
              <m:r>
                <m:t>I</m:t>
              </m:r>
            </m:e>
            <m:sub>
              <m:r>
                <m:t>i</m:t>
              </m:r>
              <m:r>
                <m:t>j</m:t>
              </m:r>
            </m:sub>
          </m:sSub>
          <m:d>
            <m:dPr>
              <m:begChr m:val="("/>
              <m:endChr m:val=")"/>
              <m:sepChr m:val=""/>
              <m:grow/>
            </m:dPr>
            <m:e>
              <m:r>
                <m:t>t</m:t>
              </m:r>
            </m:e>
          </m:d>
          <m:r>
            <m:rPr>
              <m:sty m:val="p"/>
            </m:rPr>
            <m:t>−</m:t>
          </m:r>
          <m:sSub>
            <m:e>
              <m:r>
                <m:t>X</m:t>
              </m:r>
            </m:e>
            <m:sub>
              <m:r>
                <m:t>i</m:t>
              </m:r>
              <m:r>
                <m:t>j</m:t>
              </m:r>
            </m:sub>
          </m:sSub>
          <m:d>
            <m:dPr>
              <m:begChr m:val="("/>
              <m:endChr m:val=")"/>
              <m:sepChr m:val=""/>
              <m:grow/>
            </m:dPr>
            <m:e>
              <m:r>
                <m:t>t</m:t>
              </m:r>
            </m:e>
          </m:d>
          <m:sSub>
            <m:e>
              <m:r>
                <m:t>a</m:t>
              </m:r>
            </m:e>
            <m:sub>
              <m:r>
                <m:t>i</m:t>
              </m:r>
            </m:sub>
          </m:sSub>
          <m:r>
            <m:t>  </m:t>
          </m:r>
          <m:d>
            <m:dPr>
              <m:begChr m:val="("/>
              <m:endChr m:val=")"/>
              <m:sepChr m:val=""/>
              <m:grow/>
            </m:dPr>
            <m:e>
              <m:r>
                <m:t>1</m:t>
              </m:r>
            </m:e>
          </m:d>
        </m:oMath>
      </m:oMathPara>
      <w:bookmarkEnd w:id="21"/>
    </w:p>
    <w:p>
      <w:pPr>
        <w:pStyle w:val="FirstParagraph"/>
      </w:pPr>
      <w:r>
        <w:t xml:space="preserve">Where</w:t>
      </w:r>
      <w:r>
        <w:t xml:space="preserve"> </w:t>
      </w:r>
      <m:oMath>
        <m:sSub>
          <m:e>
            <m:r>
              <m:t>X</m:t>
            </m:r>
          </m:e>
          <m:sub>
            <m:r>
              <m:t>i</m:t>
            </m:r>
            <m:r>
              <m:t>j</m:t>
            </m:r>
          </m:sub>
        </m:sSub>
        <m:d>
          <m:dPr>
            <m:begChr m:val="("/>
            <m:endChr m:val=")"/>
            <m:sepChr m:val=""/>
            <m:grow/>
          </m:dPr>
          <m:e>
            <m:r>
              <m:t>t</m:t>
            </m:r>
          </m:e>
        </m:d>
      </m:oMath>
      <w:r>
        <w:t xml:space="preserve"> </w:t>
      </w:r>
      <w:r>
        <w:t xml:space="preserve">is the abundance of species</w:t>
      </w:r>
      <w:r>
        <w:t xml:space="preserve"> </w:t>
      </w:r>
      <m:oMath>
        <m:r>
          <m:t>i</m:t>
        </m:r>
      </m:oMath>
      <w:r>
        <w:t xml:space="preserve"> </w:t>
      </w:r>
      <w:r>
        <w:t xml:space="preserve">in patch</w:t>
      </w:r>
      <w:r>
        <w:t xml:space="preserve"> </w:t>
      </w:r>
      <m:oMath>
        <m:r>
          <m:t>j</m:t>
        </m:r>
      </m:oMath>
      <w:r>
        <w:t xml:space="preserve"> </w:t>
      </w:r>
      <w:r>
        <w:t xml:space="preserve">at time</w:t>
      </w:r>
      <w:r>
        <w:t xml:space="preserve"> </w:t>
      </w:r>
      <m:oMath>
        <m:r>
          <m:t>t</m:t>
        </m:r>
      </m:oMath>
      <w:r>
        <w:t xml:space="preserve">.</w:t>
      </w:r>
      <w:r>
        <w:t xml:space="preserve"> </w:t>
      </w:r>
      <m:oMath>
        <m:sSub>
          <m:e>
            <m:r>
              <m:t>C</m:t>
            </m:r>
          </m:e>
          <m:sub>
            <m:r>
              <m:t>i</m:t>
            </m:r>
          </m:sub>
        </m:sSub>
      </m:oMath>
      <w:r>
        <w:t xml:space="preserve"> </w:t>
      </w:r>
      <w:r>
        <w:t xml:space="preserve">is its intrinsic rate of increase (which we have set to 0.1 for</w:t>
      </w:r>
      <w:r>
        <w:t xml:space="preserve"> </w:t>
      </w:r>
      <w:r>
        <w:t xml:space="preserve">‘</w:t>
      </w:r>
      <w:r>
        <w:t xml:space="preserve">plants</w:t>
      </w:r>
      <w:r>
        <w:t xml:space="preserve">’</w:t>
      </w:r>
      <w:r>
        <w:t xml:space="preserve"> </w:t>
      </w:r>
      <w:r>
        <w:t xml:space="preserve">and -0.01 for</w:t>
      </w:r>
      <w:r>
        <w:t xml:space="preserve"> </w:t>
      </w:r>
      <w:r>
        <w:t xml:space="preserve">‘</w:t>
      </w:r>
      <w:r>
        <w:t xml:space="preserve">herbivores</w:t>
      </w:r>
      <w:r>
        <w:t xml:space="preserve">’</w:t>
      </w:r>
      <w:r>
        <w:t xml:space="preserve"> </w:t>
      </w:r>
      <w:r>
        <w:t xml:space="preserve">and</w:t>
      </w:r>
      <w:r>
        <w:t xml:space="preserve"> </w:t>
      </w:r>
      <w:r>
        <w:t xml:space="preserve">‘</w:t>
      </w:r>
      <w:r>
        <w:t xml:space="preserve">carnivores</w:t>
      </w:r>
      <w:r>
        <w:t xml:space="preserve">’</w:t>
      </w:r>
      <w:r>
        <w:t xml:space="preserve">).</w:t>
      </w:r>
      <w:r>
        <w:t xml:space="preserve"> </w:t>
      </w:r>
      <m:oMath>
        <m:sSub>
          <m:e>
            <m:r>
              <m:t>B</m:t>
            </m:r>
          </m:e>
          <m:sub>
            <m:r>
              <m:t>i</m:t>
            </m:r>
            <m:r>
              <m:t>k</m:t>
            </m:r>
          </m:sub>
        </m:sSub>
      </m:oMath>
      <w:r>
        <w:t xml:space="preserve"> </w:t>
      </w:r>
      <w:r>
        <w:t xml:space="preserve">is the per capita effect of species</w:t>
      </w:r>
      <w:r>
        <w:t xml:space="preserve"> </w:t>
      </w:r>
      <m:oMath>
        <m:r>
          <m:t>k</m:t>
        </m:r>
      </m:oMath>
      <w:r>
        <w:t xml:space="preserve"> </w:t>
      </w:r>
      <w:r>
        <w:t xml:space="preserve">on species</w:t>
      </w:r>
      <w:r>
        <w:t xml:space="preserve"> </w:t>
      </w:r>
      <m:oMath>
        <m:r>
          <m:t>i</m:t>
        </m:r>
      </m:oMath>
      <w:r>
        <w:t xml:space="preserve">. The exact interaction strength for each species pair is drawn from a uniform distribution with the parameters for the interaction pairs listed in</w:t>
      </w:r>
      <w:r>
        <w:t xml:space="preserve"> </w:t>
      </w:r>
      <w:hyperlink w:anchor="tbl-interaction_strength">
        <w:r>
          <w:rPr>
            <w:rStyle w:val="Hyperlink"/>
          </w:rPr>
          <w:t xml:space="preserve">Table 1</w:t>
        </w:r>
      </w:hyperlink>
      <w:r>
        <w:t xml:space="preserve">, the values drawn from the uniform distribution are scaled by dividing by</w:t>
      </w:r>
      <w:r>
        <w:t xml:space="preserve"> </w:t>
      </w:r>
      <m:oMath>
        <m:r>
          <m:t>0.33</m:t>
        </m:r>
        <m:r>
          <m:t>S</m:t>
        </m:r>
      </m:oMath>
      <w:r>
        <w:t xml:space="preserve"> </w:t>
      </w:r>
      <w:r>
        <w:t xml:space="preserve">to yield the final interaction strength for each interacting pair.</w:t>
      </w:r>
    </w:p>
    <w:tbl>
      <w:tblPr>
        <w:tblStyle w:val="Table"/>
        <w:tblW w:type="pct" w:w="5000"/>
        <w:tblLook w:firstRow="0" w:lastRow="0" w:firstColumn="0" w:lastColumn="0" w:noHBand="0" w:noVBand="0" w:val="0000"/>
        <w:jc w:val="start"/>
        <w:tblLayout w:type="fixed"/>
      </w:tblPr>
      <w:tblGrid>
        <w:gridCol w:w="7920"/>
      </w:tblGrid>
      <w:tr>
        <w:tc>
          <w:tcPr/>
          <w:bookmarkStart w:id="22" w:name="tbl-interaction_strength"/>
          <w:p>
            <w:pPr>
              <w:jc w:val="center"/>
            </w:pPr>
            <w:pPr>
              <w:jc w:val="start"/>
              <w:spacing w:before="200"/>
              <w:pStyle w:val="ImageCaption"/>
            </w:pPr>
            <w:r>
              <w:t xml:space="preserve">Table 1: Intervals used for the uniform distribution from which interaction strengths values are drawn from for the different types of species pair interactions. Note this is represent the effect of species type 1 on species type 2</w:t>
            </w:r>
            <w:r>
              <w:t xml:space="preserve"> </w:t>
            </w:r>
            <w:r>
              <w:rPr>
                <w:iCs/>
                <w:i/>
              </w:rPr>
              <w:t xml:space="preserve">i.e.,</w:t>
            </w:r>
            <w:r>
              <w:t xml:space="preserve"> </w:t>
            </w:r>
            <w:r>
              <w:t xml:space="preserve">herbivore-plant represents the effect of a herbivore species on a plant species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jc w:val="center"/>
                  </w:pPr>
                  <w:r>
                    <w:t xml:space="preserve">Interacting pair</w:t>
                  </w:r>
                </w:p>
              </w:tc>
              <w:tc>
                <w:tcPr/>
                <w:p>
                  <w:pPr>
                    <w:pStyle w:val="Compact"/>
                    <w:jc w:val="center"/>
                    <w:jc w:val="center"/>
                  </w:pPr>
                  <w:r>
                    <w:t xml:space="preserve">Range of uniform distribution</w:t>
                  </w:r>
                </w:p>
              </w:tc>
            </w:tr>
            <w:tr>
              <w:tc>
                <w:tcPr/>
                <w:p>
                  <w:pPr>
                    <w:pStyle w:val="Compact"/>
                    <w:jc w:val="left"/>
                    <w:jc w:val="center"/>
                  </w:pPr>
                  <w:r>
                    <w:t xml:space="preserve">Plant-plant</w:t>
                  </w:r>
                </w:p>
              </w:tc>
              <w:tc>
                <w:tcPr/>
                <w:p>
                  <w:pPr>
                    <w:pStyle w:val="Compact"/>
                    <w:jc w:val="center"/>
                    <w:jc w:val="center"/>
                  </w:pPr>
                  <w:r>
                    <w:t xml:space="preserve">-1 – 0</w:t>
                  </w:r>
                </w:p>
              </w:tc>
            </w:tr>
            <w:tr>
              <w:tc>
                <w:tcPr/>
                <w:p>
                  <w:pPr>
                    <w:pStyle w:val="Compact"/>
                    <w:jc w:val="left"/>
                    <w:jc w:val="center"/>
                  </w:pPr>
                  <w:r>
                    <w:t xml:space="preserve">Plant-herbivore</w:t>
                  </w:r>
                </w:p>
              </w:tc>
              <w:tc>
                <w:tcPr/>
                <w:p>
                  <w:pPr>
                    <w:pStyle w:val="Compact"/>
                    <w:jc w:val="center"/>
                    <w:jc w:val="center"/>
                  </w:pPr>
                  <w:r>
                    <w:t xml:space="preserve">0 – 0.1</w:t>
                  </w:r>
                </w:p>
              </w:tc>
            </w:tr>
            <w:tr>
              <w:tc>
                <w:tcPr/>
                <w:p>
                  <w:pPr>
                    <w:pStyle w:val="Compact"/>
                    <w:jc w:val="left"/>
                    <w:jc w:val="center"/>
                  </w:pPr>
                  <w:r>
                    <w:t xml:space="preserve">Plant-carnivore</w:t>
                  </w:r>
                </w:p>
              </w:tc>
              <w:tc>
                <w:tcPr/>
                <w:p>
                  <w:pPr>
                    <w:pStyle w:val="Compact"/>
                    <w:jc w:val="center"/>
                    <w:jc w:val="center"/>
                  </w:pPr>
                  <w:r>
                    <w:t xml:space="preserve">0</w:t>
                  </w:r>
                </w:p>
              </w:tc>
            </w:tr>
            <w:tr>
              <w:tc>
                <w:tcPr/>
                <w:p>
                  <w:pPr>
                    <w:pStyle w:val="Compact"/>
                    <w:jc w:val="left"/>
                    <w:jc w:val="center"/>
                  </w:pPr>
                  <w:r>
                    <w:t xml:space="preserve">Herbivore-plant</w:t>
                  </w:r>
                </w:p>
              </w:tc>
              <w:tc>
                <w:tcPr/>
                <w:p>
                  <w:pPr>
                    <w:pStyle w:val="Compact"/>
                    <w:jc w:val="center"/>
                    <w:jc w:val="center"/>
                  </w:pPr>
                  <w:r>
                    <w:t xml:space="preserve">-0.3 – 0</w:t>
                  </w:r>
                </w:p>
              </w:tc>
            </w:tr>
            <w:tr>
              <w:tc>
                <w:tcPr/>
                <w:p>
                  <w:pPr>
                    <w:pStyle w:val="Compact"/>
                    <w:jc w:val="left"/>
                    <w:jc w:val="center"/>
                  </w:pPr>
                  <w:r>
                    <w:t xml:space="preserve">Herbivore-herbivore</w:t>
                  </w:r>
                </w:p>
              </w:tc>
              <w:tc>
                <w:tcPr/>
                <w:p>
                  <w:pPr>
                    <w:pStyle w:val="Compact"/>
                    <w:jc w:val="center"/>
                    <w:jc w:val="center"/>
                  </w:pPr>
                  <w:r>
                    <w:t xml:space="preserve">-0.2– -0.15</w:t>
                  </w:r>
                </w:p>
              </w:tc>
            </w:tr>
            <w:tr>
              <w:tc>
                <w:tcPr/>
                <w:p>
                  <w:pPr>
                    <w:pStyle w:val="Compact"/>
                    <w:jc w:val="left"/>
                    <w:jc w:val="center"/>
                  </w:pPr>
                  <w:r>
                    <w:t xml:space="preserve">Herbivore-carnivore</w:t>
                  </w:r>
                </w:p>
              </w:tc>
              <w:tc>
                <w:tcPr/>
                <w:p>
                  <w:pPr>
                    <w:pStyle w:val="Compact"/>
                    <w:jc w:val="center"/>
                    <w:jc w:val="center"/>
                  </w:pPr>
                  <w:r>
                    <w:t xml:space="preserve">0 – 0.08</w:t>
                  </w:r>
                </w:p>
              </w:tc>
            </w:tr>
            <w:tr>
              <w:tc>
                <w:tcPr/>
                <w:p>
                  <w:pPr>
                    <w:pStyle w:val="Compact"/>
                    <w:jc w:val="left"/>
                    <w:jc w:val="center"/>
                  </w:pPr>
                  <w:r>
                    <w:t xml:space="preserve">Carnivore-plant</w:t>
                  </w:r>
                </w:p>
              </w:tc>
              <w:tc>
                <w:tcPr/>
                <w:p>
                  <w:pPr>
                    <w:pStyle w:val="Compact"/>
                    <w:jc w:val="center"/>
                    <w:jc w:val="center"/>
                  </w:pPr>
                  <w:r>
                    <w:t xml:space="preserve">0</w:t>
                  </w:r>
                </w:p>
              </w:tc>
            </w:tr>
            <w:tr>
              <w:tc>
                <w:tcPr/>
                <w:p>
                  <w:pPr>
                    <w:pStyle w:val="Compact"/>
                    <w:jc w:val="left"/>
                    <w:jc w:val="center"/>
                  </w:pPr>
                  <w:r>
                    <w:t xml:space="preserve">Carnivore-herbivore</w:t>
                  </w:r>
                </w:p>
              </w:tc>
              <w:tc>
                <w:tcPr/>
                <w:p>
                  <w:pPr>
                    <w:pStyle w:val="Compact"/>
                    <w:jc w:val="center"/>
                    <w:jc w:val="center"/>
                  </w:pPr>
                  <w:r>
                    <w:t xml:space="preserve">-0.1 – 0</w:t>
                  </w:r>
                </w:p>
              </w:tc>
            </w:tr>
            <w:tr>
              <w:tc>
                <w:tcPr/>
                <w:p>
                  <w:pPr>
                    <w:pStyle w:val="Compact"/>
                    <w:jc w:val="left"/>
                    <w:jc w:val="center"/>
                  </w:pPr>
                  <w:r>
                    <w:t xml:space="preserve">Carnivore-carnivore</w:t>
                  </w:r>
                </w:p>
              </w:tc>
              <w:tc>
                <w:tcPr/>
                <w:p>
                  <w:pPr>
                    <w:pStyle w:val="Compact"/>
                    <w:jc w:val="center"/>
                    <w:jc w:val="center"/>
                  </w:pPr>
                  <w:r>
                    <w:t xml:space="preserve">-0.1 – 0</w:t>
                  </w:r>
                </w:p>
              </w:tc>
            </w:tr>
          </w:tbl>
          <w:bookmarkEnd w:id="22"/>
          <w:p/>
        </w:tc>
      </w:tr>
    </w:tbl>
    <w:p>
      <w:pPr>
        <w:pStyle w:val="BodyText"/>
      </w:pPr>
      <m:oMath>
        <m:sSub>
          <m:e>
            <m:r>
              <m:t>A</m:t>
            </m:r>
          </m:e>
          <m:sub>
            <m:r>
              <m:t>i</m:t>
            </m:r>
            <m:r>
              <m:t>j</m:t>
            </m:r>
          </m:sub>
        </m:sSub>
        <m:d>
          <m:dPr>
            <m:begChr m:val="("/>
            <m:endChr m:val=")"/>
            <m:sepChr m:val=""/>
            <m:grow/>
          </m:dPr>
          <m:e>
            <m:r>
              <m:t>t</m:t>
            </m:r>
          </m:e>
        </m:d>
      </m:oMath>
      <w:r>
        <w:t xml:space="preserve"> </w:t>
      </w:r>
      <w:r>
        <w:t xml:space="preserve">is the effect of the environment in patch</w:t>
      </w:r>
      <w:r>
        <w:t xml:space="preserve"> </w:t>
      </w:r>
      <m:oMath>
        <m:r>
          <m:t>j</m:t>
        </m:r>
      </m:oMath>
      <w:r>
        <w:t xml:space="preserve"> </w:t>
      </w:r>
      <w:r>
        <w:t xml:space="preserve">on species</w:t>
      </w:r>
      <w:r>
        <w:t xml:space="preserve"> </w:t>
      </w:r>
      <m:oMath>
        <m:r>
          <m:t>i</m:t>
        </m:r>
      </m:oMath>
      <w:r>
        <w:t xml:space="preserve"> </w:t>
      </w:r>
      <w:r>
        <w:t xml:space="preserve">at time</w:t>
      </w:r>
      <w:r>
        <w:t xml:space="preserve"> </w:t>
      </w:r>
      <m:oMath>
        <m:r>
          <m:t>t</m:t>
        </m:r>
      </m:oMath>
      <w:r>
        <w:t xml:space="preserve"> </w:t>
      </w:r>
      <w:r>
        <w:t xml:space="preserve">and can be further expanded as follows:</w:t>
      </w:r>
    </w:p>
    <w:p>
      <w:pPr>
        <w:pStyle w:val="BodyText"/>
      </w:pPr>
      <w:bookmarkStart w:id="23" w:name="eq-metacomm_env"/>
      <m:oMathPara>
        <m:oMathParaPr>
          <m:jc m:val="center"/>
        </m:oMathParaPr>
        <m:oMath>
          <m:sSub>
            <m:e>
              <m:r>
                <m:t>A</m:t>
              </m:r>
            </m:e>
            <m:sub>
              <m:r>
                <m:t>i</m:t>
              </m:r>
              <m:r>
                <m:t>j</m:t>
              </m:r>
            </m:sub>
          </m:sSub>
          <m:d>
            <m:dPr>
              <m:begChr m:val="("/>
              <m:endChr m:val=")"/>
              <m:sepChr m:val=""/>
              <m:grow/>
            </m:dPr>
            <m:e>
              <m:r>
                <m:t>t</m:t>
              </m:r>
            </m:e>
          </m:d>
          <m:r>
            <m:rPr>
              <m:sty m:val="p"/>
            </m:rPr>
            <m:t>=</m:t>
          </m:r>
          <m:r>
            <m:t>h</m:t>
          </m:r>
          <m:d>
            <m:dPr>
              <m:begChr m:val="("/>
              <m:endChr m:val=")"/>
              <m:sepChr m:val=""/>
              <m:grow/>
            </m:dPr>
            <m:e>
              <m:r>
                <m:t>e</m:t>
              </m:r>
              <m:r>
                <m:t>x</m:t>
              </m:r>
              <m:r>
                <m:t>p</m:t>
              </m:r>
              <m:r>
                <m:rPr>
                  <m:sty m:val="p"/>
                </m:rPr>
                <m:t>−</m:t>
              </m:r>
              <m:f>
                <m:fPr>
                  <m:type m:val="bar"/>
                </m:fPr>
                <m:num>
                  <m:sSup>
                    <m:e>
                      <m:d>
                        <m:dPr>
                          <m:begChr m:val="("/>
                          <m:endChr m:val=")"/>
                          <m:sepChr m:val=""/>
                          <m:grow/>
                        </m:dPr>
                        <m:e>
                          <m:sSub>
                            <m:e>
                              <m:r>
                                <m:t>E</m:t>
                              </m:r>
                            </m:e>
                            <m:sub>
                              <m:r>
                                <m:t>j</m:t>
                              </m:r>
                            </m:sub>
                          </m:sSub>
                          <m:d>
                            <m:dPr>
                              <m:begChr m:val="("/>
                              <m:endChr m:val=")"/>
                              <m:sepChr m:val=""/>
                              <m:grow/>
                            </m:dPr>
                            <m:e>
                              <m:r>
                                <m:t>t</m:t>
                              </m:r>
                            </m:e>
                          </m:d>
                          <m:r>
                            <m:rPr>
                              <m:sty m:val="p"/>
                            </m:rPr>
                            <m:t>−</m:t>
                          </m:r>
                          <m:sSub>
                            <m:e>
                              <m:r>
                                <m:t>H</m:t>
                              </m:r>
                            </m:e>
                            <m:sub>
                              <m:r>
                                <m:t>i</m:t>
                              </m:r>
                            </m:sub>
                          </m:sSub>
                        </m:e>
                      </m:d>
                    </m:e>
                    <m:sup>
                      <m:r>
                        <m:t>2</m:t>
                      </m:r>
                    </m:sup>
                  </m:sSup>
                </m:num>
                <m:den>
                  <m:r>
                    <m:t>2</m:t>
                  </m:r>
                  <m:sSup>
                    <m:e>
                      <m:r>
                        <m:t>σ</m:t>
                      </m:r>
                    </m:e>
                    <m:sup>
                      <m:r>
                        <m:t>2</m:t>
                      </m:r>
                    </m:sup>
                  </m:sSup>
                </m:den>
              </m:f>
              <m:r>
                <m:rPr>
                  <m:sty m:val="p"/>
                </m:rPr>
                <m:t>−</m:t>
              </m:r>
              <m:r>
                <m:t>1</m:t>
              </m:r>
            </m:e>
          </m:d>
          <m:r>
            <m:t>  </m:t>
          </m:r>
          <m:d>
            <m:dPr>
              <m:begChr m:val="("/>
              <m:endChr m:val=")"/>
              <m:sepChr m:val=""/>
              <m:grow/>
            </m:dPr>
            <m:e>
              <m:r>
                <m:t>2</m:t>
              </m:r>
            </m:e>
          </m:d>
        </m:oMath>
      </m:oMathPara>
      <w:bookmarkEnd w:id="23"/>
    </w:p>
    <w:p>
      <w:pPr>
        <w:pStyle w:val="FirstParagraph"/>
      </w:pPr>
      <w:r>
        <w:t xml:space="preserve">Species environmental optima (</w:t>
      </w:r>
      <m:oMath>
        <m:sSub>
          <m:e>
            <m:r>
              <m:t>H</m:t>
            </m:r>
          </m:e>
          <m:sub>
            <m:r>
              <m:t>i</m:t>
            </m:r>
          </m:sub>
        </m:sSub>
      </m:oMath>
      <w:r>
        <w:t xml:space="preserve">) are evenly distributed across the entire range of environmental conditions for each trophic level, meaning that species from different trophic levels will be at, or near the same environmental optima.</w:t>
      </w:r>
      <w:r>
        <w:t xml:space="preserve"> </w:t>
      </w:r>
      <m:oMath>
        <m:r>
          <m:t>h</m:t>
        </m:r>
      </m:oMath>
      <w:r>
        <w:t xml:space="preserve"> </w:t>
      </w:r>
      <w:r>
        <w:t xml:space="preserve">is a scaling parameter (set to 300),</w:t>
      </w:r>
      <w:r>
        <w:t xml:space="preserve"> </w:t>
      </w:r>
      <m:oMath>
        <m:sSub>
          <m:e>
            <m:r>
              <m:t>E</m:t>
            </m:r>
          </m:e>
          <m:sub>
            <m:r>
              <m:t>j</m:t>
            </m:r>
          </m:sub>
        </m:sSub>
        <m:d>
          <m:dPr>
            <m:begChr m:val="("/>
            <m:endChr m:val=")"/>
            <m:sepChr m:val=""/>
            <m:grow/>
          </m:dPr>
          <m:e>
            <m:r>
              <m:t>t</m:t>
            </m:r>
          </m:e>
        </m:d>
      </m:oMath>
      <w:r>
        <w:t xml:space="preserve"> </w:t>
      </w:r>
      <w:r>
        <w:t xml:space="preserve">is the environment in patch</w:t>
      </w:r>
      <w:r>
        <w:t xml:space="preserve"> </w:t>
      </w:r>
      <m:oMath>
        <m:r>
          <m:t>j</m:t>
        </m:r>
      </m:oMath>
      <w:r>
        <w:t xml:space="preserve"> </w:t>
      </w:r>
      <w:r>
        <w:t xml:space="preserve">at time</w:t>
      </w:r>
      <w:r>
        <w:t xml:space="preserve"> </w:t>
      </w:r>
      <m:oMath>
        <m:r>
          <m:t>t</m:t>
        </m:r>
      </m:oMath>
      <w:r>
        <w:t xml:space="preserve"> </w:t>
      </w:r>
      <w:r>
        <w:t xml:space="preserve">and</w:t>
      </w:r>
      <w:r>
        <w:t xml:space="preserve"> </w:t>
      </w:r>
      <m:oMath>
        <m:r>
          <m:t>σ</m:t>
        </m:r>
      </m:oMath>
      <w:r>
        <w:t xml:space="preserve"> </w:t>
      </w:r>
      <w:r>
        <w:t xml:space="preserve">is the standard deviation (set to 50).</w:t>
      </w:r>
    </w:p>
    <w:p>
      <w:pPr>
        <w:pStyle w:val="BodyText"/>
      </w:pPr>
      <m:oMath>
        <m:sSub>
          <m:e>
            <m:r>
              <m:t>I</m:t>
            </m:r>
          </m:e>
          <m:sub>
            <m:r>
              <m:t>i</m:t>
            </m:r>
            <m:r>
              <m:t>j</m:t>
            </m:r>
          </m:sub>
        </m:sSub>
        <m:d>
          <m:dPr>
            <m:begChr m:val="("/>
            <m:endChr m:val=")"/>
            <m:sepChr m:val=""/>
            <m:grow/>
          </m:dPr>
          <m:e>
            <m:r>
              <m:t>t</m:t>
            </m:r>
          </m:e>
        </m:d>
      </m:oMath>
      <w:r>
        <w:t xml:space="preserve"> </w:t>
      </w:r>
      <w:r>
        <w:t xml:space="preserve">is the abundance of species</w:t>
      </w:r>
      <w:r>
        <w:t xml:space="preserve"> </w:t>
      </w:r>
      <m:oMath>
        <m:r>
          <m:t>i</m:t>
        </m:r>
      </m:oMath>
      <w:r>
        <w:t xml:space="preserve"> </w:t>
      </w:r>
      <w:r>
        <w:t xml:space="preserve">immigrating to patch</w:t>
      </w:r>
      <w:r>
        <w:t xml:space="preserve"> </w:t>
      </w:r>
      <m:oMath>
        <m:r>
          <m:t>j</m:t>
        </m:r>
      </m:oMath>
      <w:r>
        <w:t xml:space="preserve"> </w:t>
      </w:r>
      <w:r>
        <w:t xml:space="preserve">at time</w:t>
      </w:r>
      <w:r>
        <w:t xml:space="preserve"> </w:t>
      </w:r>
      <m:oMath>
        <m:r>
          <m:t>t</m:t>
        </m:r>
      </m:oMath>
      <w:r>
        <w:t xml:space="preserve"> </w:t>
      </w:r>
      <w:r>
        <w:t xml:space="preserve">and can be expanded as follows:</w:t>
      </w:r>
    </w:p>
    <w:p>
      <w:pPr>
        <w:pStyle w:val="BodyText"/>
      </w:pPr>
      <w:bookmarkStart w:id="24" w:name="eq-metacomm_imm"/>
      <m:oMathPara>
        <m:oMathParaPr>
          <m:jc m:val="center"/>
        </m:oMathParaPr>
        <m:oMath>
          <m:sSub>
            <m:e>
              <m:r>
                <m:t>I</m:t>
              </m:r>
            </m:e>
            <m:sub>
              <m:r>
                <m:t>i</m:t>
              </m:r>
              <m:r>
                <m:t>j</m:t>
              </m:r>
            </m:sub>
          </m:sSub>
          <m:d>
            <m:dPr>
              <m:begChr m:val="("/>
              <m:endChr m:val=")"/>
              <m:sepChr m:val=""/>
              <m:grow/>
            </m:dPr>
            <m:e>
              <m:r>
                <m:t>t</m:t>
              </m:r>
            </m:e>
          </m:d>
          <m:r>
            <m:rPr>
              <m:sty m:val="p"/>
            </m:rPr>
            <m:t>=</m:t>
          </m:r>
          <m:nary>
            <m:naryPr>
              <m:chr m:val="∑"/>
              <m:limLoc m:val="undOvr"/>
              <m:subHide m:val="off"/>
              <m:supHide m:val="off"/>
            </m:naryPr>
            <m:sub>
              <m:r>
                <m:t>l</m:t>
              </m:r>
              <m:r>
                <m:rPr>
                  <m:sty m:val="p"/>
                </m:rPr>
                <m:t>=</m:t>
              </m:r>
              <m:r>
                <m:t>j</m:t>
              </m:r>
            </m:sub>
            <m:sup>
              <m:r>
                <m:t>M</m:t>
              </m:r>
            </m:sup>
            <m:e>
              <m:sSub>
                <m:e>
                  <m:r>
                    <m:t>a</m:t>
                  </m:r>
                </m:e>
                <m:sub>
                  <m:r>
                    <m:t>i</m:t>
                  </m:r>
                </m:sub>
              </m:sSub>
            </m:e>
          </m:nary>
          <m:sSub>
            <m:e>
              <m:r>
                <m:t>X</m:t>
              </m:r>
            </m:e>
            <m:sub>
              <m:r>
                <m:t>i</m:t>
              </m:r>
              <m:r>
                <m:t>l</m:t>
              </m:r>
            </m:sub>
          </m:sSub>
          <m:d>
            <m:dPr>
              <m:begChr m:val="("/>
              <m:endChr m:val=")"/>
              <m:sepChr m:val=""/>
              <m:grow/>
            </m:dPr>
            <m:e>
              <m:r>
                <m:t>t</m:t>
              </m:r>
            </m:e>
          </m:d>
          <m:r>
            <m:t>e</m:t>
          </m:r>
          <m:r>
            <m:t>x</m:t>
          </m:r>
          <m:r>
            <m:t>p</m:t>
          </m:r>
          <m:d>
            <m:dPr>
              <m:begChr m:val="("/>
              <m:endChr m:val=")"/>
              <m:sepChr m:val=""/>
              <m:grow/>
            </m:dPr>
            <m:e>
              <m:r>
                <m:rPr>
                  <m:sty m:val="p"/>
                </m:rPr>
                <m:t>−</m:t>
              </m:r>
              <m:r>
                <m:t>L</m:t>
              </m:r>
              <m:sSub>
                <m:e>
                  <m:r>
                    <m:t>d</m:t>
                  </m:r>
                </m:e>
                <m:sub>
                  <m:r>
                    <m:t>j</m:t>
                  </m:r>
                  <m:r>
                    <m:t>l</m:t>
                  </m:r>
                </m:sub>
              </m:sSub>
            </m:e>
          </m:d>
          <m:r>
            <m:t>  </m:t>
          </m:r>
          <m:d>
            <m:dPr>
              <m:begChr m:val="("/>
              <m:endChr m:val=")"/>
              <m:sepChr m:val=""/>
              <m:grow/>
            </m:dPr>
            <m:e>
              <m:r>
                <m:t>3</m:t>
              </m:r>
            </m:e>
          </m:d>
        </m:oMath>
      </m:oMathPara>
      <w:bookmarkEnd w:id="24"/>
    </w:p>
    <w:p>
      <w:pPr>
        <w:pStyle w:val="FirstParagraph"/>
      </w:pPr>
      <w:r>
        <w:t xml:space="preserve">Where</w:t>
      </w:r>
      <w:r>
        <w:t xml:space="preserve"> </w:t>
      </w:r>
      <m:oMath>
        <m:r>
          <m:t>a</m:t>
        </m:r>
        <m:r>
          <m:t>i</m:t>
        </m:r>
      </m:oMath>
      <w:r>
        <w:t xml:space="preserve"> </w:t>
      </w:r>
      <w:r>
        <w:t xml:space="preserve">is the proportion of the population of species</w:t>
      </w:r>
      <w:r>
        <w:t xml:space="preserve"> </w:t>
      </w:r>
      <m:oMath>
        <m:r>
          <m:t>i</m:t>
        </m:r>
      </m:oMath>
      <w:r>
        <w:t xml:space="preserve"> </w:t>
      </w:r>
      <w:r>
        <w:t xml:space="preserve">that disperses at each time step, the dispersal rate is drawn from a normal distribution (</w:t>
      </w:r>
      <m:oMath>
        <m:r>
          <m:t>μ</m:t>
        </m:r>
      </m:oMath>
      <w:r>
        <w:t xml:space="preserve"> </w:t>
      </w:r>
      <w:r>
        <w:t xml:space="preserve">= 0.1,</w:t>
      </w:r>
      <w:r>
        <w:t xml:space="preserve"> </w:t>
      </w:r>
      <m:oMath>
        <m:r>
          <m:t>σ</m:t>
        </m:r>
      </m:oMath>
      <w:r>
        <w:t xml:space="preserve"> </w:t>
      </w:r>
      <w:r>
        <w:t xml:space="preserve">= 0.025) for each species. The abundance of immigrants to patch</w:t>
      </w:r>
      <w:r>
        <w:t xml:space="preserve"> </w:t>
      </w:r>
      <m:oMath>
        <m:r>
          <m:t>j</m:t>
        </m:r>
      </m:oMath>
      <w:r>
        <w:t xml:space="preserve"> </w:t>
      </w:r>
      <w:r>
        <w:t xml:space="preserve">from all other patches is governed by where</w:t>
      </w:r>
      <w:r>
        <w:t xml:space="preserve"> </w:t>
      </w:r>
      <m:oMath>
        <m:sSub>
          <m:e>
            <m:r>
              <m:t>d</m:t>
            </m:r>
          </m:e>
          <m:sub>
            <m:r>
              <m:t>j</m:t>
            </m:r>
            <m:r>
              <m:t>l</m:t>
            </m:r>
          </m:sub>
        </m:sSub>
      </m:oMath>
      <w:r>
        <w:t xml:space="preserve"> </w:t>
      </w:r>
      <w:r>
        <w:t xml:space="preserve">is the geographic distance between patches</w:t>
      </w:r>
      <w:r>
        <w:t xml:space="preserve"> </w:t>
      </w:r>
      <m:oMath>
        <m:r>
          <m:t>j</m:t>
        </m:r>
      </m:oMath>
      <w:r>
        <w:t xml:space="preserve"> </w:t>
      </w:r>
      <w:r>
        <w:t xml:space="preserve">and</w:t>
      </w:r>
      <w:r>
        <w:t xml:space="preserve"> </w:t>
      </w:r>
      <m:oMath>
        <m:r>
          <m:t>l</m:t>
        </m:r>
      </m:oMath>
      <w:r>
        <w:t xml:space="preserve">, and</w:t>
      </w:r>
      <w:r>
        <w:t xml:space="preserve"> </w:t>
      </w:r>
      <m:oMath>
        <m:r>
          <m:t>L</m:t>
        </m:r>
      </m:oMath>
      <w:r>
        <w:t xml:space="preserve"> </w:t>
      </w:r>
      <w:r>
        <w:t xml:space="preserve">(the strength of the exponential decrease in dispersal with distance), which is also drawn from a normal distribution for each species. The parameters used for</w:t>
      </w:r>
      <w:r>
        <w:t xml:space="preserve"> </w:t>
      </w:r>
      <m:oMath>
        <m:r>
          <m:t>L</m:t>
        </m:r>
      </m:oMath>
      <w:r>
        <w:t xml:space="preserve"> </w:t>
      </w:r>
      <w:r>
        <w:t xml:space="preserve">are trophic level dependant and are show in</w:t>
      </w:r>
      <w:r>
        <w:t xml:space="preserve"> </w:t>
      </w:r>
      <w:hyperlink w:anchor="tbl-interaction_decay">
        <w:r>
          <w:rPr>
            <w:rStyle w:val="Hyperlink"/>
          </w:rPr>
          <w:t xml:space="preserve">Table 2</w:t>
        </w:r>
      </w:hyperlink>
    </w:p>
    <w:tbl>
      <w:tblPr>
        <w:tblStyle w:val="Table"/>
        <w:tblW w:type="pct" w:w="5000"/>
        <w:tblLook w:firstRow="0" w:lastRow="0" w:firstColumn="0" w:lastColumn="0" w:noHBand="0" w:noVBand="0" w:val="0000"/>
        <w:jc w:val="start"/>
        <w:tblLayout w:type="fixed"/>
      </w:tblPr>
      <w:tblGrid>
        <w:gridCol w:w="7920"/>
      </w:tblGrid>
      <w:tr>
        <w:tc>
          <w:tcPr/>
          <w:bookmarkStart w:id="25" w:name="tbl-interaction_decay"/>
          <w:p>
            <w:pPr>
              <w:jc w:val="center"/>
            </w:pPr>
            <w:pPr>
              <w:jc w:val="start"/>
              <w:spacing w:before="200"/>
              <w:pStyle w:val="ImageCaption"/>
            </w:pPr>
            <w:r>
              <w:t xml:space="preserve">Table 2: Parameters for the normal distributions used to determine the dispersal decay (</w:t>
            </w:r>
            <m:oMath>
              <m:r>
                <m:t>L</m:t>
              </m:r>
            </m:oMath>
            <w:r>
              <w:t xml:space="preserve">) for each species depending on its trophic level.</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jc w:val="center"/>
                  </w:pPr>
                  <w:r>
                    <w:t xml:space="preserve">Trophic level</w:t>
                  </w:r>
                </w:p>
              </w:tc>
              <w:tc>
                <w:tcPr/>
                <w:p>
                  <w:pPr>
                    <w:pStyle w:val="Compact"/>
                    <w:jc w:val="center"/>
                    <w:jc w:val="center"/>
                  </w:pPr>
                  <m:oMath>
                    <m:r>
                      <m:t>μ</m:t>
                    </m:r>
                  </m:oMath>
                </w:p>
              </w:tc>
              <w:tc>
                <w:tcPr/>
                <w:p>
                  <w:pPr>
                    <w:pStyle w:val="Compact"/>
                    <w:jc w:val="center"/>
                    <w:jc w:val="center"/>
                  </w:pPr>
                  <m:oMath>
                    <m:r>
                      <m:t>σ</m:t>
                    </m:r>
                  </m:oMath>
                </w:p>
              </w:tc>
            </w:tr>
            <w:tr>
              <w:tc>
                <w:tcPr/>
                <w:p>
                  <w:pPr>
                    <w:pStyle w:val="Compact"/>
                    <w:jc w:val="left"/>
                    <w:jc w:val="center"/>
                  </w:pPr>
                  <w:r>
                    <w:t xml:space="preserve">Plant</w:t>
                  </w:r>
                </w:p>
              </w:tc>
              <w:tc>
                <w:tcPr/>
                <w:p>
                  <w:pPr>
                    <w:pStyle w:val="Compact"/>
                    <w:jc w:val="center"/>
                    <w:jc w:val="center"/>
                  </w:pPr>
                  <w:r>
                    <w:t xml:space="preserve">0.3</w:t>
                  </w:r>
                </w:p>
              </w:tc>
              <w:tc>
                <w:tcPr/>
                <w:p>
                  <w:pPr>
                    <w:pStyle w:val="Compact"/>
                    <w:jc w:val="center"/>
                    <w:jc w:val="center"/>
                  </w:pPr>
                  <w:r>
                    <w:t xml:space="preserve">0.075</w:t>
                  </w:r>
                </w:p>
              </w:tc>
            </w:tr>
            <w:tr>
              <w:tc>
                <w:tcPr/>
                <w:p>
                  <w:pPr>
                    <w:pStyle w:val="Compact"/>
                    <w:jc w:val="left"/>
                    <w:jc w:val="center"/>
                  </w:pPr>
                  <w:r>
                    <w:t xml:space="preserve">Herbivore</w:t>
                  </w:r>
                </w:p>
              </w:tc>
              <w:tc>
                <w:tcPr/>
                <w:p>
                  <w:pPr>
                    <w:pStyle w:val="Compact"/>
                    <w:jc w:val="center"/>
                    <w:jc w:val="center"/>
                  </w:pPr>
                  <w:r>
                    <w:t xml:space="preserve">0.2</w:t>
                  </w:r>
                </w:p>
              </w:tc>
              <w:tc>
                <w:tcPr/>
                <w:p>
                  <w:pPr>
                    <w:pStyle w:val="Compact"/>
                    <w:jc w:val="center"/>
                    <w:jc w:val="center"/>
                  </w:pPr>
                  <w:r>
                    <w:t xml:space="preserve">0.05</w:t>
                  </w:r>
                </w:p>
              </w:tc>
            </w:tr>
            <w:tr>
              <w:tc>
                <w:tcPr/>
                <w:p>
                  <w:pPr>
                    <w:pStyle w:val="Compact"/>
                    <w:jc w:val="left"/>
                    <w:jc w:val="center"/>
                  </w:pPr>
                  <w:r>
                    <w:t xml:space="preserve">Carnivore</w:t>
                  </w:r>
                </w:p>
              </w:tc>
              <w:tc>
                <w:tcPr/>
                <w:p>
                  <w:pPr>
                    <w:pStyle w:val="Compact"/>
                    <w:jc w:val="center"/>
                    <w:jc w:val="center"/>
                  </w:pPr>
                  <w:r>
                    <w:t xml:space="preserve">0.1</w:t>
                  </w:r>
                </w:p>
              </w:tc>
              <w:tc>
                <w:tcPr/>
                <w:p>
                  <w:pPr>
                    <w:pStyle w:val="Compact"/>
                    <w:jc w:val="center"/>
                    <w:jc w:val="center"/>
                  </w:pPr>
                  <w:r>
                    <w:t xml:space="preserve">0.025</w:t>
                  </w:r>
                </w:p>
              </w:tc>
            </w:tr>
          </w:tbl>
          <w:bookmarkEnd w:id="25"/>
          <w:p/>
        </w:tc>
      </w:tr>
    </w:tbl>
    <w:bookmarkEnd w:id="26"/>
    <w:bookmarkStart w:id="27" w:name="generating-networks"/>
    <w:p>
      <w:pPr>
        <w:pStyle w:val="Heading3"/>
      </w:pPr>
      <w:r>
        <w:t xml:space="preserve">2.2 Generating networks</w:t>
      </w:r>
    </w:p>
    <w:p>
      <w:pPr>
        <w:pStyle w:val="FirstParagraph"/>
      </w:pPr>
      <w:r>
        <w:t xml:space="preserve">More info on the baking process and the various connectivity stuff and whatnot</w:t>
      </w:r>
    </w:p>
    <w:bookmarkEnd w:id="27"/>
    <w:bookmarkStart w:id="29" w:name="spatial-wombling"/>
    <w:p>
      <w:pPr>
        <w:pStyle w:val="Heading3"/>
      </w:pPr>
      <w:r>
        <w:t xml:space="preserve">2.3 Spatial wombling</w:t>
      </w:r>
    </w:p>
    <w:p>
      <w:pPr>
        <w:pStyle w:val="FirstParagraph"/>
      </w:pPr>
      <w:r>
        <w:t xml:space="preserve">Broadly speaking spatial wombling is an edge-detection algorithm which traverses a geographic area and defines this area in terms of the rate (</w:t>
      </w:r>
      <m:oMath>
        <m:r>
          <m:t>m</m:t>
        </m:r>
      </m:oMath>
      <w:r>
        <w:t xml:space="preserve">) and corresponding direction (</w:t>
      </w:r>
      <m:oMath>
        <m:r>
          <m:t>θ</m:t>
        </m:r>
      </m:oMath>
      <w:r>
        <w:t xml:space="preserve">) of change. This is done by using first-order partial derivative (</w:t>
      </w:r>
      <m:oMath>
        <m:r>
          <m:rPr>
            <m:sty m:val="p"/>
          </m:rPr>
          <m:t>∂</m:t>
        </m:r>
      </m:oMath>
      <w:r>
        <w:t xml:space="preserve">) of the</w:t>
      </w:r>
      <w:r>
        <w:t xml:space="preserve"> </w:t>
      </w:r>
      <w:r>
        <w:t xml:space="preserve">‘</w:t>
      </w:r>
      <w:r>
        <w:t xml:space="preserve">curvature</w:t>
      </w:r>
      <w:r>
        <w:t xml:space="preserve">’</w:t>
      </w:r>
      <w:r>
        <w:t xml:space="preserve"> </w:t>
      </w:r>
      <w:r>
        <w:t xml:space="preserve">of the landscape as described by</w:t>
      </w:r>
      <w:r>
        <w:t xml:space="preserve"> </w:t>
      </w:r>
      <m:oMath>
        <m:r>
          <m:t>f</m:t>
        </m:r>
        <m:d>
          <m:dPr>
            <m:begChr m:val="("/>
            <m:endChr m:val=")"/>
            <m:sepChr m:val=""/>
            <m:grow/>
          </m:dPr>
          <m:e>
            <m:r>
              <m:t>x</m:t>
            </m:r>
            <m:r>
              <m:rPr>
                <m:sty m:val="p"/>
              </m:rPr>
              <m:t>,</m:t>
            </m:r>
            <m:r>
              <m:t>y</m:t>
            </m:r>
          </m:e>
        </m:d>
      </m:oMath>
      <w:r>
        <w:t xml:space="preserve"> </w:t>
      </w:r>
      <w:r>
        <w:t xml:space="preserve">(see</w:t>
      </w:r>
      <w:r>
        <w:t xml:space="preserve"> </w:t>
      </w:r>
      <w:hyperlink w:anchor="eq-womble">
        <w:r>
          <w:rPr>
            <w:rStyle w:val="Hyperlink"/>
          </w:rPr>
          <w:t xml:space="preserve">Equation 4</w:t>
        </w:r>
      </w:hyperlink>
      <w:r>
        <w:t xml:space="preserve">). This essentially gives an indiaction how steep the gradient (</w:t>
      </w:r>
      <m:oMath>
        <m:r>
          <m:t>m</m:t>
        </m:r>
      </m:oMath>
      <w:r>
        <w:t xml:space="preserve">) is between neighbouring cells as well as the direction (</w:t>
      </w:r>
      <m:oMath>
        <m:r>
          <m:t>θ</m:t>
        </m:r>
      </m:oMath>
      <w:r>
        <w:t xml:space="preserve">) of the slope.</w:t>
      </w:r>
    </w:p>
    <w:p>
      <w:pPr>
        <w:pStyle w:val="BodyText"/>
      </w:pPr>
      <w:bookmarkStart w:id="28" w:name="eq-womble"/>
      <m:oMathPara>
        <m:oMathParaPr>
          <m:jc m:val="center"/>
        </m:oMathParaPr>
        <m:oMath>
          <m:r>
            <m:t>m</m:t>
          </m:r>
          <m:r>
            <m:rPr>
              <m:sty m:val="p"/>
            </m:rPr>
            <m:t>=</m:t>
          </m:r>
          <m:rad>
            <m:radPr>
              <m:degHide m:val="on"/>
            </m:radPr>
            <m:deg/>
            <m:e>
              <m:sSup>
                <m:e>
                  <m:f>
                    <m:fPr>
                      <m:type m:val="bar"/>
                    </m:fPr>
                    <m:num>
                      <m:r>
                        <m:rPr>
                          <m:sty m:val="p"/>
                        </m:rPr>
                        <m:t>∂</m:t>
                      </m:r>
                      <m:r>
                        <m:t>f</m:t>
                      </m:r>
                      <m:d>
                        <m:dPr>
                          <m:begChr m:val="("/>
                          <m:endChr m:val=")"/>
                          <m:sepChr m:val=""/>
                          <m:grow/>
                        </m:dPr>
                        <m:e>
                          <m:r>
                            <m:t>x</m:t>
                          </m:r>
                          <m:r>
                            <m:rPr>
                              <m:sty m:val="p"/>
                            </m:rPr>
                            <m:t>,</m:t>
                          </m:r>
                          <m:r>
                            <m:t>y</m:t>
                          </m:r>
                        </m:e>
                      </m:d>
                    </m:num>
                    <m:den>
                      <m:r>
                        <m:rPr>
                          <m:sty m:val="p"/>
                        </m:rPr>
                        <m:t>∂</m:t>
                      </m:r>
                      <m:r>
                        <m:t>x</m:t>
                      </m:r>
                    </m:den>
                  </m:f>
                </m:e>
                <m:sup>
                  <m:r>
                    <m:t>2</m:t>
                  </m:r>
                </m:sup>
              </m:sSup>
              <m:r>
                <m:rPr>
                  <m:sty m:val="p"/>
                </m:rPr>
                <m:t>+</m:t>
              </m:r>
              <m:sSup>
                <m:e>
                  <m:f>
                    <m:fPr>
                      <m:type m:val="bar"/>
                    </m:fPr>
                    <m:num>
                      <m:r>
                        <m:rPr>
                          <m:sty m:val="p"/>
                        </m:rPr>
                        <m:t>∂</m:t>
                      </m:r>
                      <m:r>
                        <m:t>f</m:t>
                      </m:r>
                      <m:d>
                        <m:dPr>
                          <m:begChr m:val="("/>
                          <m:endChr m:val=")"/>
                          <m:sepChr m:val=""/>
                          <m:grow/>
                        </m:dPr>
                        <m:e>
                          <m:r>
                            <m:t>x</m:t>
                          </m:r>
                          <m:r>
                            <m:rPr>
                              <m:sty m:val="p"/>
                            </m:rPr>
                            <m:t>,</m:t>
                          </m:r>
                          <m:r>
                            <m:t>y</m:t>
                          </m:r>
                        </m:e>
                      </m:d>
                    </m:num>
                    <m:den>
                      <m:r>
                        <m:rPr>
                          <m:sty m:val="p"/>
                        </m:rPr>
                        <m:t>∂</m:t>
                      </m:r>
                      <m:r>
                        <m:t>y</m:t>
                      </m:r>
                    </m:den>
                  </m:f>
                </m:e>
                <m:sup>
                  <m:r>
                    <m:t>2</m:t>
                  </m:r>
                </m:sup>
              </m:sSup>
            </m:e>
          </m:rad>
          <m:r>
            <m:t>  </m:t>
          </m:r>
          <m:d>
            <m:dPr>
              <m:begChr m:val="("/>
              <m:endChr m:val=")"/>
              <m:sepChr m:val=""/>
              <m:grow/>
            </m:dPr>
            <m:e>
              <m:r>
                <m:t>4</m:t>
              </m:r>
            </m:e>
          </m:d>
        </m:oMath>
      </m:oMathPara>
      <w:bookmarkEnd w:id="28"/>
    </w:p>
    <w:p>
      <w:pPr>
        <w:pStyle w:val="FirstParagraph"/>
      </w:pPr>
      <w:r>
        <w:t xml:space="preserve">The spatial wombling analyses were done using</w:t>
      </w:r>
      <w:r>
        <w:t xml:space="preserve"> </w:t>
      </w:r>
      <w:r>
        <w:rPr>
          <w:rStyle w:val="VerbatimChar"/>
        </w:rPr>
        <w:t xml:space="preserve">SpatialBoundaries.jl</w:t>
      </w:r>
      <w:r>
        <w:t xml:space="preserve"> </w:t>
      </w:r>
      <w:r>
        <w:t xml:space="preserve">(Strydom and Poisot 2023)</w:t>
      </w:r>
      <w:r>
        <w:t xml:space="preserve">. The docuemntation provides a more detailed breakdown of the underlying methodology.</w:t>
      </w:r>
    </w:p>
    <w:bookmarkEnd w:id="29"/>
    <w:bookmarkEnd w:id="30"/>
    <w:bookmarkStart w:id="31" w:name="conclusion"/>
    <w:p>
      <w:pPr>
        <w:pStyle w:val="Heading2"/>
      </w:pPr>
      <w:r>
        <w:t xml:space="preserve">3 Conclusion</w:t>
      </w:r>
    </w:p>
    <w:bookmarkEnd w:id="31"/>
    <w:bookmarkStart w:id="38"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32">
        <w:r>
          <w:rPr>
            <w:rStyle w:val="Hyperlink"/>
            <w:vertAlign w:val="subscript"/>
          </w:rPr>
          <w:t xml:space="preserve">Article Notebook</w:t>
        </w:r>
      </w:hyperlink>
    </w:p>
    <w:bookmarkStart w:id="37" w:name="refs"/>
    <w:bookmarkStart w:id="34" w:name="ref-Strydom2023Spatialboundariesa"/>
    <w:p>
      <w:pPr>
        <w:pStyle w:val="Bibliography"/>
      </w:pPr>
      <w:r>
        <w:t xml:space="preserve">Strydom, Tanya, and Timothée Poisot. 2023.</w:t>
      </w:r>
      <w:r>
        <w:t xml:space="preserve"> </w:t>
      </w:r>
      <w:r>
        <w:t xml:space="preserve">“</w:t>
      </w:r>
      <w:r>
        <w:t xml:space="preserve">SpatialBoundaries</w:t>
      </w:r>
      <w:r>
        <w:t xml:space="preserve">.jl: Edge Detection Using Spatial Wombling.”</w:t>
      </w:r>
      <w:r>
        <w:t xml:space="preserve"> </w:t>
      </w:r>
      <w:r>
        <w:rPr>
          <w:iCs/>
          <w:i/>
        </w:rPr>
        <w:t xml:space="preserve">Ecography</w:t>
      </w:r>
      <w:r>
        <w:t xml:space="preserve"> </w:t>
      </w:r>
      <w:r>
        <w:t xml:space="preserve">2023 (5): e06609.</w:t>
      </w:r>
      <w:r>
        <w:t xml:space="preserve"> </w:t>
      </w:r>
      <w:hyperlink r:id="rId33">
        <w:r>
          <w:rPr>
            <w:rStyle w:val="Hyperlink"/>
          </w:rPr>
          <w:t xml:space="preserve">https://doi.org/10.1111/ecog.06609</w:t>
        </w:r>
      </w:hyperlink>
      <w:r>
        <w:t xml:space="preserve">.</w:t>
      </w:r>
    </w:p>
    <w:bookmarkEnd w:id="34"/>
    <w:bookmarkStart w:id="36" w:name="ref-Thompson2017Dispersala"/>
    <w:p>
      <w:pPr>
        <w:pStyle w:val="Bibliography"/>
      </w:pPr>
      <w:r>
        <w:t xml:space="preserve">Thompson, Patrick L., and Andrew Gonzalez. 2017.</w:t>
      </w:r>
      <w:r>
        <w:t xml:space="preserve"> </w:t>
      </w:r>
      <w:r>
        <w:t xml:space="preserve">“Dispersal Governs the Reorganization of Ecological Networks Under Environmental Change.”</w:t>
      </w:r>
      <w:r>
        <w:t xml:space="preserve"> </w:t>
      </w:r>
      <w:r>
        <w:rPr>
          <w:iCs/>
          <w:i/>
        </w:rPr>
        <w:t xml:space="preserve">Nature Ecology &amp; Evolution</w:t>
      </w:r>
      <w:r>
        <w:t xml:space="preserve"> </w:t>
      </w:r>
      <w:r>
        <w:t xml:space="preserve">1 (6).</w:t>
      </w:r>
      <w:r>
        <w:t xml:space="preserve"> </w:t>
      </w:r>
      <w:hyperlink r:id="rId35">
        <w:r>
          <w:rPr>
            <w:rStyle w:val="Hyperlink"/>
          </w:rPr>
          <w:t xml:space="preserve">https://doi.org/10.1038/s41559-017-0162</w:t>
        </w:r>
      </w:hyperlink>
      <w:r>
        <w:t xml:space="preserve">.</w:t>
      </w:r>
    </w:p>
    <w:bookmarkEnd w:id="36"/>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b/>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b/>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PoisotLab.github.io/ms_womble_ya_net/index.qmd.html" TargetMode="External" /><Relationship Type="http://schemas.openxmlformats.org/officeDocument/2006/relationships/hyperlink" Id="rId35" Target="https://doi.org/10.1038/s41559-017-0162" TargetMode="External" /><Relationship Type="http://schemas.openxmlformats.org/officeDocument/2006/relationships/hyperlink" Id="rId33" Target="https://doi.org/10.1111/ecog.06609" TargetMode="External" /></Relationships>
</file>

<file path=word/_rels/footnotes.xml.rels><?xml version="1.0" encoding="UTF-8"?><Relationships xmlns="http://schemas.openxmlformats.org/package/2006/relationships"><Relationship Type="http://schemas.openxmlformats.org/officeDocument/2006/relationships/hyperlink" Id="rId32" Target="https://PoisotLab.github.io/ms_womble_ya_net/index.qmd.html" TargetMode="External" /><Relationship Type="http://schemas.openxmlformats.org/officeDocument/2006/relationships/hyperlink" Id="rId35" Target="https://doi.org/10.1038/s41559-017-0162" TargetMode="External" /><Relationship Type="http://schemas.openxmlformats.org/officeDocument/2006/relationships/hyperlink" Id="rId33" Target="https://doi.org/10.1111/ecog.0660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Omnomnomnivores</dc:title>
  <dc:creator>Tanya Strydom; Timothée Poisot</dc:creator>
  <cp:keywords>wombling, spatial networks</cp:keywords>
  <dcterms:created xsi:type="dcterms:W3CDTF">2024-02-05T16:01:58Z</dcterms:created>
  <dcterms:modified xsi:type="dcterms:W3CDTF">2024-02-05T16:01:58Z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September 2021, a significant jump in seismic activity on the island of La Palma (Canary Islands, Spain) signaled the start of a volcanic crisis that still continues at the time of writing. Earthquake data is continually collected and published by the Instituto Geográphico Nacional (IGN).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2024-02-05</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jupyter">
    <vt:lpwstr>python3</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Earthquake data for the island of La Palma from the September 2021 eruption is found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